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9DA" w:rsidRDefault="00937CAA" w:rsidP="00AC7E2B">
      <w:pPr>
        <w:spacing w:before="100" w:beforeAutospacing="1" w:after="100" w:afterAutospacing="1" w:line="240" w:lineRule="auto"/>
        <w:rPr>
          <w:rFonts w:ascii="Times New Roman" w:eastAsia="Times New Roman" w:hAnsi="Times New Roman" w:cs="Times New Roman"/>
          <w:b/>
          <w:bCs/>
          <w:sz w:val="40"/>
          <w:szCs w:val="40"/>
        </w:rPr>
      </w:pPr>
      <w:r w:rsidRPr="007E1456">
        <w:rPr>
          <w:rFonts w:ascii="Times New Roman" w:eastAsia="Times New Roman" w:hAnsi="Times New Roman" w:cs="Times New Roman"/>
          <w:b/>
          <w:bCs/>
          <w:sz w:val="40"/>
          <w:szCs w:val="40"/>
        </w:rPr>
        <w:t>Overview of Financial Institutions in Bangladesh</w:t>
      </w:r>
    </w:p>
    <w:p w:rsidR="007E1456" w:rsidRDefault="007E1456" w:rsidP="007E1456">
      <w:pPr>
        <w:spacing w:before="100" w:beforeAutospacing="1" w:after="100" w:afterAutospacing="1" w:line="240" w:lineRule="auto"/>
        <w:rPr>
          <w:rFonts w:ascii="Times New Roman" w:eastAsia="Times New Roman" w:hAnsi="Times New Roman" w:cs="Times New Roman"/>
          <w:b/>
          <w:sz w:val="32"/>
          <w:szCs w:val="32"/>
        </w:rPr>
      </w:pPr>
      <w:r w:rsidRPr="007E1456">
        <w:rPr>
          <w:rFonts w:ascii="Times New Roman" w:eastAsia="Times New Roman" w:hAnsi="Times New Roman" w:cs="Times New Roman"/>
          <w:b/>
          <w:sz w:val="32"/>
          <w:szCs w:val="32"/>
        </w:rPr>
        <w:t>Introduction:</w:t>
      </w:r>
    </w:p>
    <w:p w:rsidR="00715F92" w:rsidRPr="00715F92" w:rsidRDefault="00715F92" w:rsidP="007E1456">
      <w:pPr>
        <w:spacing w:before="100" w:beforeAutospacing="1" w:after="100" w:afterAutospacing="1" w:line="240" w:lineRule="auto"/>
      </w:pPr>
      <w:r>
        <w:t>Financial sector reform in Bangladesh started in 1976 with privatization of the banks to encourage private investment, and continue in the mid-1980s as part of Structural Adjustment Policies (SAP). Between 1992 and 1996, a Financial Sector Reform Programme (FSRP) was implemented. Its major aim was to improve the operations of Nationalized Commercial Banks (NCBs) through the development of new banking technologies, computerization of banking operations, upgrading of skills, changing outdated internal banking practices and corporate and credit cultures. Further reforms are underway.In Bangladesh, there are 49 banks (with 6318 branches) of which there are 30 private commercial banks, 10 foreign commercial banks and 9 nationalized commercial and specialized banks. The banking sector employs about 110,000 people. Total deposits and loans and advances also increased considerably between 1990 and 2005 and some financial deepening has taken place as a result of intensive reforms in the financial system. Foreign joint venture banks now hold about 9.5 percent of the total assets of commercial banks.</w:t>
      </w:r>
    </w:p>
    <w:p w:rsidR="00D91E70" w:rsidRPr="00AC7E2B" w:rsidRDefault="00923143" w:rsidP="00AC7E2B">
      <w:pPr>
        <w:spacing w:before="100" w:beforeAutospacing="1" w:after="100" w:afterAutospacing="1" w:line="240" w:lineRule="auto"/>
        <w:rPr>
          <w:rFonts w:ascii="Times New Roman" w:eastAsia="Times New Roman" w:hAnsi="Times New Roman" w:cs="Times New Roman"/>
          <w:b/>
          <w:sz w:val="32"/>
          <w:szCs w:val="32"/>
        </w:rPr>
      </w:pPr>
      <w:r w:rsidRPr="007E1456">
        <w:rPr>
          <w:rFonts w:ascii="Times New Roman" w:eastAsia="Times New Roman" w:hAnsi="Times New Roman" w:cs="Times New Roman"/>
          <w:b/>
          <w:sz w:val="32"/>
          <w:szCs w:val="32"/>
        </w:rPr>
        <w:t>Types of financial institutions:</w:t>
      </w:r>
    </w:p>
    <w:p w:rsidR="00923143" w:rsidRDefault="00923143" w:rsidP="00923143">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Commercial Banks</w:t>
      </w:r>
    </w:p>
    <w:p w:rsidR="00923143" w:rsidRDefault="00923143" w:rsidP="00923143">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Insurance companies</w:t>
      </w:r>
    </w:p>
    <w:p w:rsidR="00923143" w:rsidRDefault="00923143" w:rsidP="00923143">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Securities firms and investment banks</w:t>
      </w:r>
    </w:p>
    <w:p w:rsidR="00923143" w:rsidRDefault="00CE0B76" w:rsidP="00923143">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Non banking financial institutions</w:t>
      </w:r>
    </w:p>
    <w:p w:rsidR="00923143" w:rsidRDefault="00923143" w:rsidP="00923143">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Mutual funds</w:t>
      </w:r>
    </w:p>
    <w:p w:rsidR="00923143" w:rsidRDefault="00923143" w:rsidP="00923143">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Pension funds</w:t>
      </w:r>
    </w:p>
    <w:p w:rsidR="0026798D" w:rsidRDefault="0026798D" w:rsidP="00923143">
      <w:pPr>
        <w:pStyle w:val="ListParagraph"/>
        <w:numPr>
          <w:ilvl w:val="0"/>
          <w:numId w:val="1"/>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 financial institutions </w:t>
      </w:r>
    </w:p>
    <w:p w:rsidR="00942479" w:rsidRDefault="00942479" w:rsidP="00942479">
      <w:pPr>
        <w:pStyle w:val="ListParagraph"/>
        <w:spacing w:before="100" w:beforeAutospacing="1" w:after="100" w:afterAutospacing="1" w:line="240" w:lineRule="auto"/>
        <w:rPr>
          <w:rFonts w:ascii="Times New Roman" w:eastAsia="Times New Roman" w:hAnsi="Times New Roman" w:cs="Times New Roman"/>
          <w:sz w:val="24"/>
          <w:szCs w:val="24"/>
        </w:rPr>
      </w:pPr>
    </w:p>
    <w:p w:rsidR="00451A9C" w:rsidRPr="00BE7BD4" w:rsidRDefault="00901415" w:rsidP="00451A9C">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Commercial Bank</w:t>
      </w:r>
    </w:p>
    <w:p w:rsidR="00451A9C" w:rsidRPr="00901415" w:rsidRDefault="00451A9C" w:rsidP="00451A9C">
      <w:pPr>
        <w:pStyle w:val="NormalWeb"/>
        <w:rPr>
          <w:color w:val="000000" w:themeColor="text1"/>
        </w:rPr>
      </w:pPr>
      <w:r w:rsidRPr="00BE7BD4">
        <w:t xml:space="preserve">A financial institution that provides services, such as accepting deposits, giving business loans and auto loans, mortgage lending, and basic investment products like savings accounts and certificates of deposit. The traditional commercial bank is a brick and mortar institution with tellers, safe deposit boxes, vaults and ATMs. However, some commercial banks do not have any physical branches and require consumers to complete all transactions by phone or Internet. In exchange, they generally pay higher interest rates on investments and deposits, and charge lower </w:t>
      </w:r>
      <w:r w:rsidRPr="00901415">
        <w:rPr>
          <w:color w:val="000000" w:themeColor="text1"/>
        </w:rPr>
        <w:t>fees.The commercial banks are :-</w:t>
      </w:r>
    </w:p>
    <w:p w:rsidR="00451A9C" w:rsidRPr="00901415" w:rsidRDefault="00451A9C" w:rsidP="00451A9C">
      <w:pPr>
        <w:numPr>
          <w:ilvl w:val="0"/>
          <w:numId w:val="11"/>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901415">
        <w:rPr>
          <w:rFonts w:ascii="Times New Roman" w:eastAsia="Times New Roman" w:hAnsi="Times New Roman" w:cs="Times New Roman"/>
          <w:color w:val="000000" w:themeColor="text1"/>
          <w:sz w:val="24"/>
          <w:szCs w:val="24"/>
        </w:rPr>
        <w:t>Sonali Bank Limited</w:t>
      </w:r>
    </w:p>
    <w:p w:rsidR="00451A9C" w:rsidRPr="00901415" w:rsidRDefault="00451A9C" w:rsidP="00451A9C">
      <w:pPr>
        <w:numPr>
          <w:ilvl w:val="0"/>
          <w:numId w:val="11"/>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901415">
        <w:rPr>
          <w:rFonts w:ascii="Times New Roman" w:eastAsia="Times New Roman" w:hAnsi="Times New Roman" w:cs="Times New Roman"/>
          <w:color w:val="000000" w:themeColor="text1"/>
          <w:sz w:val="24"/>
          <w:szCs w:val="24"/>
        </w:rPr>
        <w:t>Janata Bank Limited</w:t>
      </w:r>
    </w:p>
    <w:p w:rsidR="00451A9C" w:rsidRPr="00901415" w:rsidRDefault="00451A9C" w:rsidP="00451A9C">
      <w:pPr>
        <w:numPr>
          <w:ilvl w:val="0"/>
          <w:numId w:val="11"/>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901415">
        <w:rPr>
          <w:rFonts w:ascii="Times New Roman" w:eastAsia="Times New Roman" w:hAnsi="Times New Roman" w:cs="Times New Roman"/>
          <w:color w:val="000000" w:themeColor="text1"/>
          <w:sz w:val="24"/>
          <w:szCs w:val="24"/>
        </w:rPr>
        <w:t>Agrani Bank Limited</w:t>
      </w:r>
    </w:p>
    <w:p w:rsidR="00451A9C" w:rsidRDefault="00451A9C" w:rsidP="00451A9C">
      <w:pPr>
        <w:numPr>
          <w:ilvl w:val="0"/>
          <w:numId w:val="11"/>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901415">
        <w:rPr>
          <w:rFonts w:ascii="Times New Roman" w:eastAsia="Times New Roman" w:hAnsi="Times New Roman" w:cs="Times New Roman"/>
          <w:color w:val="000000" w:themeColor="text1"/>
          <w:sz w:val="24"/>
          <w:szCs w:val="24"/>
        </w:rPr>
        <w:t xml:space="preserve">Rupali Bank Limited </w:t>
      </w:r>
    </w:p>
    <w:p w:rsidR="00E275C9" w:rsidRPr="00901415" w:rsidRDefault="00E275C9" w:rsidP="00451A9C">
      <w:pPr>
        <w:numPr>
          <w:ilvl w:val="0"/>
          <w:numId w:val="11"/>
        </w:numPr>
        <w:spacing w:before="100" w:beforeAutospacing="1" w:after="100" w:afterAutospacing="1" w:line="240" w:lineRule="auto"/>
        <w:rPr>
          <w:rFonts w:ascii="Times New Roman" w:eastAsia="Times New Roman" w:hAnsi="Times New Roman" w:cs="Times New Roman"/>
          <w:color w:val="000000" w:themeColor="text1"/>
          <w:sz w:val="24"/>
          <w:szCs w:val="24"/>
        </w:rPr>
      </w:pPr>
    </w:p>
    <w:p w:rsidR="00451A9C" w:rsidRDefault="00451A9C" w:rsidP="00451A9C">
      <w:pPr>
        <w:pStyle w:val="Heading2"/>
      </w:pPr>
      <w:r>
        <w:rPr>
          <w:rStyle w:val="mw-headline"/>
        </w:rPr>
        <w:lastRenderedPageBreak/>
        <w:t>Private commercial banks</w:t>
      </w:r>
    </w:p>
    <w:p w:rsidR="00451A9C" w:rsidRPr="00920D9D" w:rsidRDefault="00451A9C" w:rsidP="00451A9C">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AB Bank Limited </w:t>
      </w:r>
    </w:p>
    <w:p w:rsidR="00451A9C" w:rsidRPr="00920D9D" w:rsidRDefault="00451A9C" w:rsidP="00451A9C">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Bangladesh Commerce Bank Limited </w:t>
      </w:r>
    </w:p>
    <w:p w:rsidR="00451A9C" w:rsidRPr="00920D9D" w:rsidRDefault="00451A9C" w:rsidP="00451A9C">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Bank Asia Limited </w:t>
      </w:r>
    </w:p>
    <w:p w:rsidR="00451A9C" w:rsidRPr="00920D9D" w:rsidRDefault="00451A9C" w:rsidP="00451A9C">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BRAC Bank Limited </w:t>
      </w:r>
    </w:p>
    <w:p w:rsidR="00451A9C" w:rsidRPr="00920D9D" w:rsidRDefault="00451A9C" w:rsidP="00451A9C">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Dhaka Bank Limited </w:t>
      </w:r>
    </w:p>
    <w:p w:rsidR="00451A9C" w:rsidRPr="00920D9D" w:rsidRDefault="00451A9C" w:rsidP="00451A9C">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Dutch Bangla Bank Limited </w:t>
      </w:r>
    </w:p>
    <w:p w:rsidR="00451A9C" w:rsidRPr="00920D9D" w:rsidRDefault="00451A9C" w:rsidP="00451A9C">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Eastern Bank Limited </w:t>
      </w:r>
    </w:p>
    <w:p w:rsidR="00451A9C" w:rsidRPr="00920D9D" w:rsidRDefault="00451A9C" w:rsidP="00451A9C">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IFIC Bank Limited </w:t>
      </w:r>
    </w:p>
    <w:p w:rsidR="00C96BB0" w:rsidRDefault="00451A9C" w:rsidP="00C96BB0">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Jamuna Bank Limited </w:t>
      </w:r>
    </w:p>
    <w:p w:rsidR="00451A9C" w:rsidRPr="002957B7" w:rsidRDefault="00451A9C" w:rsidP="00C96BB0">
      <w:pPr>
        <w:spacing w:after="0" w:line="240" w:lineRule="auto"/>
        <w:rPr>
          <w:rFonts w:ascii="Times New Roman" w:eastAsia="Times New Roman" w:hAnsi="Times New Roman" w:cs="Times New Roman"/>
          <w:sz w:val="24"/>
          <w:szCs w:val="24"/>
        </w:rPr>
      </w:pPr>
      <w:r w:rsidRPr="00920D9D">
        <w:rPr>
          <w:rFonts w:ascii="Times New Roman" w:eastAsia="Times New Roman" w:hAnsi="Symbol" w:cs="Times New Roman"/>
          <w:sz w:val="24"/>
          <w:szCs w:val="24"/>
        </w:rPr>
        <w:t></w:t>
      </w:r>
      <w:r w:rsidRPr="00920D9D">
        <w:rPr>
          <w:rFonts w:ascii="Times New Roman" w:eastAsia="Times New Roman" w:hAnsi="Times New Roman" w:cs="Times New Roman"/>
          <w:sz w:val="24"/>
          <w:szCs w:val="24"/>
        </w:rPr>
        <w:t xml:space="preserve">  Meghna Bank Limited</w:t>
      </w:r>
    </w:p>
    <w:p w:rsidR="00451A9C" w:rsidRDefault="00C96BB0" w:rsidP="00451A9C">
      <w:pPr>
        <w:pStyle w:val="Heading2"/>
      </w:pPr>
      <w:r>
        <w:t xml:space="preserve"> Thrift Bank:</w:t>
      </w:r>
    </w:p>
    <w:p w:rsidR="00451A9C" w:rsidRDefault="00451A9C" w:rsidP="00451A9C">
      <w:pPr>
        <w:pStyle w:val="NormalWeb"/>
      </w:pPr>
      <w:r>
        <w:t xml:space="preserve">A financial institution focusing on taking deposits and originating home mortgages. Thrift banks often have access to low-cost funding from Federal Home Loan Banks, which allows for higher savings account yields to customers and increased </w:t>
      </w:r>
      <w:r w:rsidR="00E275C9">
        <w:t xml:space="preserve">liquidity for mortgage loans. </w:t>
      </w:r>
      <w:r w:rsidR="00E275C9">
        <w:br/>
      </w:r>
      <w:r>
        <w:t xml:space="preserve">Also known as "savings and loan associations". </w:t>
      </w:r>
    </w:p>
    <w:p w:rsidR="00451A9C" w:rsidRPr="00C96BB0" w:rsidRDefault="00451A9C" w:rsidP="00451A9C">
      <w:pPr>
        <w:pStyle w:val="NormalWeb"/>
        <w:rPr>
          <w:b/>
          <w:sz w:val="36"/>
          <w:szCs w:val="36"/>
        </w:rPr>
      </w:pPr>
      <w:r w:rsidRPr="00C96BB0">
        <w:rPr>
          <w:b/>
          <w:sz w:val="36"/>
          <w:szCs w:val="36"/>
        </w:rPr>
        <w:t>Insurance companies:</w:t>
      </w:r>
    </w:p>
    <w:p w:rsidR="00451A9C" w:rsidRPr="002957B7" w:rsidRDefault="00451A9C" w:rsidP="00451A9C">
      <w:pPr>
        <w:spacing w:after="0" w:line="240" w:lineRule="auto"/>
        <w:rPr>
          <w:rFonts w:ascii="Times New Roman" w:eastAsia="Times New Roman" w:hAnsi="Times New Roman" w:cs="Times New Roman"/>
          <w:sz w:val="24"/>
          <w:szCs w:val="24"/>
        </w:rPr>
      </w:pPr>
      <w:r w:rsidRPr="00E275C9">
        <w:rPr>
          <w:rFonts w:ascii="Times New Roman" w:eastAsia="Times New Roman" w:hAnsi="Times New Roman" w:cs="Times New Roman"/>
          <w:color w:val="000000" w:themeColor="text1"/>
          <w:sz w:val="24"/>
          <w:szCs w:val="24"/>
        </w:rPr>
        <w:t xml:space="preserve">A </w:t>
      </w:r>
      <w:hyperlink r:id="rId6" w:history="1">
        <w:r w:rsidRPr="00E275C9">
          <w:rPr>
            <w:rFonts w:ascii="Times New Roman" w:eastAsia="Times New Roman" w:hAnsi="Times New Roman" w:cs="Times New Roman"/>
            <w:color w:val="000000" w:themeColor="text1"/>
            <w:sz w:val="24"/>
            <w:szCs w:val="24"/>
          </w:rPr>
          <w:t>business</w:t>
        </w:r>
      </w:hyperlink>
      <w:r w:rsidRPr="00E275C9">
        <w:rPr>
          <w:rFonts w:ascii="Times New Roman" w:eastAsia="Times New Roman" w:hAnsi="Times New Roman" w:cs="Times New Roman"/>
          <w:color w:val="000000" w:themeColor="text1"/>
          <w:sz w:val="24"/>
          <w:szCs w:val="24"/>
        </w:rPr>
        <w:t xml:space="preserve"> that </w:t>
      </w:r>
      <w:hyperlink r:id="rId7" w:history="1">
        <w:r w:rsidRPr="00E275C9">
          <w:rPr>
            <w:rFonts w:ascii="Times New Roman" w:eastAsia="Times New Roman" w:hAnsi="Times New Roman" w:cs="Times New Roman"/>
            <w:color w:val="000000" w:themeColor="text1"/>
            <w:sz w:val="24"/>
            <w:szCs w:val="24"/>
          </w:rPr>
          <w:t>provides</w:t>
        </w:r>
      </w:hyperlink>
      <w:r w:rsidRPr="00E275C9">
        <w:rPr>
          <w:rFonts w:ascii="Times New Roman" w:eastAsia="Times New Roman" w:hAnsi="Times New Roman" w:cs="Times New Roman"/>
          <w:color w:val="000000" w:themeColor="text1"/>
          <w:sz w:val="24"/>
          <w:szCs w:val="24"/>
        </w:rPr>
        <w:t xml:space="preserve"> </w:t>
      </w:r>
      <w:hyperlink r:id="rId8" w:history="1">
        <w:r w:rsidRPr="00E275C9">
          <w:rPr>
            <w:rFonts w:ascii="Times New Roman" w:eastAsia="Times New Roman" w:hAnsi="Times New Roman" w:cs="Times New Roman"/>
            <w:color w:val="000000" w:themeColor="text1"/>
            <w:sz w:val="24"/>
            <w:szCs w:val="24"/>
          </w:rPr>
          <w:t>coverage</w:t>
        </w:r>
      </w:hyperlink>
      <w:r w:rsidRPr="00E275C9">
        <w:rPr>
          <w:rFonts w:ascii="Times New Roman" w:eastAsia="Times New Roman" w:hAnsi="Times New Roman" w:cs="Times New Roman"/>
          <w:color w:val="000000" w:themeColor="text1"/>
          <w:sz w:val="24"/>
          <w:szCs w:val="24"/>
        </w:rPr>
        <w:t xml:space="preserve">, in the </w:t>
      </w:r>
      <w:hyperlink r:id="rId9" w:history="1">
        <w:r w:rsidRPr="00E275C9">
          <w:rPr>
            <w:rFonts w:ascii="Times New Roman" w:eastAsia="Times New Roman" w:hAnsi="Times New Roman" w:cs="Times New Roman"/>
            <w:color w:val="000000" w:themeColor="text1"/>
            <w:sz w:val="24"/>
            <w:szCs w:val="24"/>
          </w:rPr>
          <w:t>form</w:t>
        </w:r>
      </w:hyperlink>
      <w:r w:rsidRPr="00E275C9">
        <w:rPr>
          <w:rFonts w:ascii="Times New Roman" w:eastAsia="Times New Roman" w:hAnsi="Times New Roman" w:cs="Times New Roman"/>
          <w:color w:val="000000" w:themeColor="text1"/>
          <w:sz w:val="24"/>
          <w:szCs w:val="24"/>
        </w:rPr>
        <w:t xml:space="preserve"> of compensation resulting from </w:t>
      </w:r>
      <w:hyperlink r:id="rId10" w:history="1">
        <w:r w:rsidRPr="00E275C9">
          <w:rPr>
            <w:rFonts w:ascii="Times New Roman" w:eastAsia="Times New Roman" w:hAnsi="Times New Roman" w:cs="Times New Roman"/>
            <w:color w:val="000000" w:themeColor="text1"/>
            <w:sz w:val="24"/>
            <w:szCs w:val="24"/>
          </w:rPr>
          <w:t>loss</w:t>
        </w:r>
      </w:hyperlink>
      <w:r w:rsidRPr="00E275C9">
        <w:rPr>
          <w:rFonts w:ascii="Times New Roman" w:eastAsia="Times New Roman" w:hAnsi="Times New Roman" w:cs="Times New Roman"/>
          <w:color w:val="000000" w:themeColor="text1"/>
          <w:sz w:val="24"/>
          <w:szCs w:val="24"/>
        </w:rPr>
        <w:t xml:space="preserve">, </w:t>
      </w:r>
      <w:hyperlink r:id="rId11" w:history="1">
        <w:r w:rsidRPr="00E275C9">
          <w:rPr>
            <w:rFonts w:ascii="Times New Roman" w:eastAsia="Times New Roman" w:hAnsi="Times New Roman" w:cs="Times New Roman"/>
            <w:color w:val="000000" w:themeColor="text1"/>
            <w:sz w:val="24"/>
            <w:szCs w:val="24"/>
          </w:rPr>
          <w:t>damages</w:t>
        </w:r>
      </w:hyperlink>
      <w:r w:rsidRPr="00E275C9">
        <w:rPr>
          <w:rFonts w:ascii="Times New Roman" w:eastAsia="Times New Roman" w:hAnsi="Times New Roman" w:cs="Times New Roman"/>
          <w:color w:val="000000" w:themeColor="text1"/>
          <w:sz w:val="24"/>
          <w:szCs w:val="24"/>
        </w:rPr>
        <w:t xml:space="preserve">, </w:t>
      </w:r>
      <w:hyperlink r:id="rId12" w:history="1">
        <w:r w:rsidRPr="00E275C9">
          <w:rPr>
            <w:rFonts w:ascii="Times New Roman" w:eastAsia="Times New Roman" w:hAnsi="Times New Roman" w:cs="Times New Roman"/>
            <w:color w:val="000000" w:themeColor="text1"/>
            <w:sz w:val="24"/>
            <w:szCs w:val="24"/>
          </w:rPr>
          <w:t>injury</w:t>
        </w:r>
      </w:hyperlink>
      <w:r w:rsidRPr="00E275C9">
        <w:rPr>
          <w:rFonts w:ascii="Times New Roman" w:eastAsia="Times New Roman" w:hAnsi="Times New Roman" w:cs="Times New Roman"/>
          <w:color w:val="000000" w:themeColor="text1"/>
          <w:sz w:val="24"/>
          <w:szCs w:val="24"/>
        </w:rPr>
        <w:t xml:space="preserve">, treatment or </w:t>
      </w:r>
      <w:hyperlink r:id="rId13" w:history="1">
        <w:r w:rsidRPr="00E275C9">
          <w:rPr>
            <w:rFonts w:ascii="Times New Roman" w:eastAsia="Times New Roman" w:hAnsi="Times New Roman" w:cs="Times New Roman"/>
            <w:color w:val="000000" w:themeColor="text1"/>
            <w:sz w:val="24"/>
            <w:szCs w:val="24"/>
          </w:rPr>
          <w:t>hardship</w:t>
        </w:r>
      </w:hyperlink>
      <w:r w:rsidRPr="00E275C9">
        <w:rPr>
          <w:rFonts w:ascii="Times New Roman" w:eastAsia="Times New Roman" w:hAnsi="Times New Roman" w:cs="Times New Roman"/>
          <w:color w:val="000000" w:themeColor="text1"/>
          <w:sz w:val="24"/>
          <w:szCs w:val="24"/>
        </w:rPr>
        <w:t xml:space="preserve"> in </w:t>
      </w:r>
      <w:hyperlink r:id="rId14" w:history="1">
        <w:r w:rsidRPr="00E275C9">
          <w:rPr>
            <w:rFonts w:ascii="Times New Roman" w:eastAsia="Times New Roman" w:hAnsi="Times New Roman" w:cs="Times New Roman"/>
            <w:color w:val="000000" w:themeColor="text1"/>
            <w:sz w:val="24"/>
            <w:szCs w:val="24"/>
          </w:rPr>
          <w:t>exchange</w:t>
        </w:r>
      </w:hyperlink>
      <w:r w:rsidRPr="00E275C9">
        <w:rPr>
          <w:rFonts w:ascii="Times New Roman" w:eastAsia="Times New Roman" w:hAnsi="Times New Roman" w:cs="Times New Roman"/>
          <w:color w:val="000000" w:themeColor="text1"/>
          <w:sz w:val="24"/>
          <w:szCs w:val="24"/>
        </w:rPr>
        <w:t xml:space="preserve"> for </w:t>
      </w:r>
      <w:hyperlink r:id="rId15" w:history="1">
        <w:r w:rsidRPr="00E275C9">
          <w:rPr>
            <w:rFonts w:ascii="Times New Roman" w:eastAsia="Times New Roman" w:hAnsi="Times New Roman" w:cs="Times New Roman"/>
            <w:color w:val="000000" w:themeColor="text1"/>
            <w:sz w:val="24"/>
            <w:szCs w:val="24"/>
          </w:rPr>
          <w:t>premium</w:t>
        </w:r>
      </w:hyperlink>
      <w:r w:rsidRPr="00E275C9">
        <w:rPr>
          <w:rFonts w:ascii="Times New Roman" w:eastAsia="Times New Roman" w:hAnsi="Times New Roman" w:cs="Times New Roman"/>
          <w:color w:val="000000" w:themeColor="text1"/>
          <w:sz w:val="24"/>
          <w:szCs w:val="24"/>
        </w:rPr>
        <w:t xml:space="preserve"> </w:t>
      </w:r>
      <w:hyperlink r:id="rId16" w:history="1">
        <w:r w:rsidRPr="00E275C9">
          <w:rPr>
            <w:rFonts w:ascii="Times New Roman" w:eastAsia="Times New Roman" w:hAnsi="Times New Roman" w:cs="Times New Roman"/>
            <w:color w:val="000000" w:themeColor="text1"/>
            <w:sz w:val="24"/>
            <w:szCs w:val="24"/>
          </w:rPr>
          <w:t>payments</w:t>
        </w:r>
      </w:hyperlink>
      <w:r w:rsidRPr="00E275C9">
        <w:rPr>
          <w:rFonts w:ascii="Times New Roman" w:eastAsia="Times New Roman" w:hAnsi="Times New Roman" w:cs="Times New Roman"/>
          <w:color w:val="000000" w:themeColor="text1"/>
          <w:sz w:val="24"/>
          <w:szCs w:val="24"/>
        </w:rPr>
        <w:t xml:space="preserve">. The </w:t>
      </w:r>
      <w:hyperlink r:id="rId17" w:history="1">
        <w:r w:rsidRPr="00E275C9">
          <w:rPr>
            <w:rFonts w:ascii="Times New Roman" w:eastAsia="Times New Roman" w:hAnsi="Times New Roman" w:cs="Times New Roman"/>
            <w:color w:val="000000" w:themeColor="text1"/>
            <w:sz w:val="24"/>
            <w:szCs w:val="24"/>
          </w:rPr>
          <w:t>company</w:t>
        </w:r>
      </w:hyperlink>
      <w:r w:rsidRPr="00E275C9">
        <w:rPr>
          <w:rFonts w:ascii="Times New Roman" w:eastAsia="Times New Roman" w:hAnsi="Times New Roman" w:cs="Times New Roman"/>
          <w:color w:val="000000" w:themeColor="text1"/>
          <w:sz w:val="24"/>
          <w:szCs w:val="24"/>
        </w:rPr>
        <w:t xml:space="preserve"> </w:t>
      </w:r>
      <w:hyperlink r:id="rId18" w:history="1">
        <w:r w:rsidRPr="00E275C9">
          <w:rPr>
            <w:rFonts w:ascii="Times New Roman" w:eastAsia="Times New Roman" w:hAnsi="Times New Roman" w:cs="Times New Roman"/>
            <w:color w:val="000000" w:themeColor="text1"/>
            <w:sz w:val="24"/>
            <w:szCs w:val="24"/>
          </w:rPr>
          <w:t>calculates</w:t>
        </w:r>
      </w:hyperlink>
      <w:r w:rsidRPr="00E275C9">
        <w:rPr>
          <w:rFonts w:ascii="Times New Roman" w:eastAsia="Times New Roman" w:hAnsi="Times New Roman" w:cs="Times New Roman"/>
          <w:color w:val="000000" w:themeColor="text1"/>
          <w:sz w:val="24"/>
          <w:szCs w:val="24"/>
        </w:rPr>
        <w:t xml:space="preserve"> the </w:t>
      </w:r>
      <w:hyperlink r:id="rId19" w:history="1">
        <w:r w:rsidRPr="00E275C9">
          <w:rPr>
            <w:rFonts w:ascii="Times New Roman" w:eastAsia="Times New Roman" w:hAnsi="Times New Roman" w:cs="Times New Roman"/>
            <w:color w:val="000000" w:themeColor="text1"/>
            <w:sz w:val="24"/>
            <w:szCs w:val="24"/>
          </w:rPr>
          <w:t>risk</w:t>
        </w:r>
      </w:hyperlink>
      <w:r w:rsidRPr="00E275C9">
        <w:rPr>
          <w:rFonts w:ascii="Times New Roman" w:eastAsia="Times New Roman" w:hAnsi="Times New Roman" w:cs="Times New Roman"/>
          <w:color w:val="000000" w:themeColor="text1"/>
          <w:sz w:val="24"/>
          <w:szCs w:val="24"/>
        </w:rPr>
        <w:t xml:space="preserve"> of occurrence then determines the </w:t>
      </w:r>
      <w:hyperlink r:id="rId20" w:history="1">
        <w:r w:rsidRPr="00E275C9">
          <w:rPr>
            <w:rFonts w:ascii="Times New Roman" w:eastAsia="Times New Roman" w:hAnsi="Times New Roman" w:cs="Times New Roman"/>
            <w:color w:val="000000" w:themeColor="text1"/>
            <w:sz w:val="24"/>
            <w:szCs w:val="24"/>
          </w:rPr>
          <w:t>cost</w:t>
        </w:r>
      </w:hyperlink>
      <w:r w:rsidRPr="00E275C9">
        <w:rPr>
          <w:rFonts w:ascii="Times New Roman" w:eastAsia="Times New Roman" w:hAnsi="Times New Roman" w:cs="Times New Roman"/>
          <w:color w:val="000000" w:themeColor="text1"/>
          <w:sz w:val="24"/>
          <w:szCs w:val="24"/>
        </w:rPr>
        <w:t xml:space="preserve"> to replace (</w:t>
      </w:r>
      <w:hyperlink r:id="rId21" w:history="1">
        <w:r w:rsidRPr="00E275C9">
          <w:rPr>
            <w:rFonts w:ascii="Times New Roman" w:eastAsia="Times New Roman" w:hAnsi="Times New Roman" w:cs="Times New Roman"/>
            <w:color w:val="000000" w:themeColor="text1"/>
            <w:sz w:val="24"/>
            <w:szCs w:val="24"/>
          </w:rPr>
          <w:t>pay</w:t>
        </w:r>
      </w:hyperlink>
      <w:r w:rsidRPr="00E275C9">
        <w:rPr>
          <w:rFonts w:ascii="Times New Roman" w:eastAsia="Times New Roman" w:hAnsi="Times New Roman" w:cs="Times New Roman"/>
          <w:color w:val="000000" w:themeColor="text1"/>
          <w:sz w:val="24"/>
          <w:szCs w:val="24"/>
        </w:rPr>
        <w:t xml:space="preserve"> for) the loss to determine the premium </w:t>
      </w:r>
      <w:hyperlink r:id="rId22" w:history="1">
        <w:r w:rsidRPr="00E275C9">
          <w:rPr>
            <w:rFonts w:ascii="Times New Roman" w:eastAsia="Times New Roman" w:hAnsi="Times New Roman" w:cs="Times New Roman"/>
            <w:color w:val="000000" w:themeColor="text1"/>
            <w:sz w:val="24"/>
            <w:szCs w:val="24"/>
          </w:rPr>
          <w:t>amount</w:t>
        </w:r>
      </w:hyperlink>
      <w:r w:rsidRPr="00E275C9">
        <w:rPr>
          <w:rFonts w:ascii="Times New Roman" w:eastAsia="Times New Roman" w:hAnsi="Times New Roman" w:cs="Times New Roman"/>
          <w:color w:val="000000" w:themeColor="text1"/>
          <w:sz w:val="24"/>
          <w:szCs w:val="24"/>
        </w:rPr>
        <w:t>.</w:t>
      </w:r>
      <w:r w:rsidRPr="00E275C9">
        <w:rPr>
          <w:color w:val="000000" w:themeColor="text1"/>
        </w:rPr>
        <w:t xml:space="preserve"> A protection against the loss of income that would result if the insured passed away. The</w:t>
      </w:r>
      <w:r>
        <w:t xml:space="preserve"> named beneficiary receives the proceeds and is thereby safeguarded from the financial impact of the death of the insured.The insurance companies are:-</w:t>
      </w:r>
    </w:p>
    <w:p w:rsidR="00451A9C" w:rsidRDefault="00451A9C" w:rsidP="00451A9C">
      <w:pPr>
        <w:pStyle w:val="ListParagraph"/>
        <w:numPr>
          <w:ilvl w:val="0"/>
          <w:numId w:val="12"/>
        </w:numPr>
        <w:shd w:val="clear" w:color="auto" w:fill="FFFFFF"/>
        <w:spacing w:after="0" w:line="240" w:lineRule="auto"/>
        <w:rPr>
          <w:rStyle w:val="Strong"/>
        </w:rPr>
      </w:pPr>
      <w:r>
        <w:rPr>
          <w:rStyle w:val="Strong"/>
        </w:rPr>
        <w:t>Jiban Bima Corporation</w:t>
      </w:r>
    </w:p>
    <w:p w:rsidR="00451A9C" w:rsidRDefault="00451A9C" w:rsidP="00451A9C">
      <w:pPr>
        <w:pStyle w:val="ListParagraph"/>
        <w:numPr>
          <w:ilvl w:val="0"/>
          <w:numId w:val="12"/>
        </w:numPr>
        <w:shd w:val="clear" w:color="auto" w:fill="FFFFFF"/>
        <w:spacing w:after="0" w:line="240" w:lineRule="auto"/>
        <w:rPr>
          <w:rStyle w:val="Strong"/>
        </w:rPr>
      </w:pPr>
      <w:r>
        <w:rPr>
          <w:rStyle w:val="Strong"/>
        </w:rPr>
        <w:t>NATIONAL LIFE INSURANCE CO. LTD</w:t>
      </w:r>
    </w:p>
    <w:p w:rsidR="00451A9C" w:rsidRDefault="00451A9C" w:rsidP="00451A9C">
      <w:pPr>
        <w:pStyle w:val="ListParagraph"/>
        <w:numPr>
          <w:ilvl w:val="0"/>
          <w:numId w:val="12"/>
        </w:numPr>
        <w:shd w:val="clear" w:color="auto" w:fill="FFFFFF"/>
        <w:spacing w:after="0" w:line="240" w:lineRule="auto"/>
        <w:rPr>
          <w:rStyle w:val="Strong"/>
        </w:rPr>
      </w:pPr>
      <w:r>
        <w:rPr>
          <w:rStyle w:val="Strong"/>
        </w:rPr>
        <w:t>Delta Life Insurance Co. Ltd.</w:t>
      </w:r>
    </w:p>
    <w:p w:rsidR="00451A9C" w:rsidRPr="00EA58EB" w:rsidRDefault="00451A9C" w:rsidP="00451A9C">
      <w:pPr>
        <w:pStyle w:val="ListParagraph"/>
        <w:numPr>
          <w:ilvl w:val="0"/>
          <w:numId w:val="12"/>
        </w:numPr>
        <w:shd w:val="clear" w:color="auto" w:fill="FFFFFF"/>
        <w:spacing w:after="0" w:line="240" w:lineRule="auto"/>
        <w:rPr>
          <w:b/>
          <w:bCs/>
        </w:rPr>
      </w:pPr>
      <w:r>
        <w:t>Baira Life Insurance Company Ltd.</w:t>
      </w:r>
    </w:p>
    <w:p w:rsidR="00451A9C" w:rsidRDefault="00451A9C" w:rsidP="00451A9C">
      <w:pPr>
        <w:shd w:val="clear" w:color="auto" w:fill="FFFFFF"/>
        <w:spacing w:after="0" w:line="240" w:lineRule="auto"/>
        <w:ind w:left="360"/>
        <w:rPr>
          <w:b/>
          <w:bCs/>
        </w:rPr>
      </w:pPr>
    </w:p>
    <w:p w:rsidR="00451A9C" w:rsidRDefault="00451A9C" w:rsidP="00451A9C">
      <w:pPr>
        <w:shd w:val="clear" w:color="auto" w:fill="FFFFFF"/>
        <w:spacing w:after="0" w:line="240" w:lineRule="auto"/>
        <w:ind w:left="360"/>
        <w:rPr>
          <w:b/>
          <w:bCs/>
        </w:rPr>
      </w:pPr>
    </w:p>
    <w:p w:rsidR="00451A9C" w:rsidRDefault="00451A9C" w:rsidP="00451A9C">
      <w:pPr>
        <w:pStyle w:val="Heading2"/>
      </w:pPr>
      <w:r>
        <w:t>Securities</w:t>
      </w:r>
    </w:p>
    <w:p w:rsidR="00451A9C" w:rsidRDefault="00451A9C" w:rsidP="00451A9C">
      <w:pPr>
        <w:pStyle w:val="NormalWeb"/>
      </w:pPr>
      <w:r>
        <w:rPr>
          <w:rStyle w:val="hvr"/>
          <w:i/>
          <w:iCs/>
        </w:rPr>
        <w:t>Evidence</w:t>
      </w:r>
      <w:r>
        <w:rPr>
          <w:i/>
          <w:iCs/>
        </w:rPr>
        <w:t xml:space="preserve"> of a </w:t>
      </w:r>
      <w:r>
        <w:rPr>
          <w:rStyle w:val="hvr"/>
          <w:i/>
          <w:iCs/>
        </w:rPr>
        <w:t>corporation's</w:t>
      </w:r>
      <w:r>
        <w:rPr>
          <w:i/>
          <w:iCs/>
        </w:rPr>
        <w:t xml:space="preserve"> </w:t>
      </w:r>
      <w:r>
        <w:rPr>
          <w:rStyle w:val="hvr"/>
          <w:i/>
          <w:iCs/>
        </w:rPr>
        <w:t>debts</w:t>
      </w:r>
      <w:r>
        <w:rPr>
          <w:i/>
          <w:iCs/>
        </w:rPr>
        <w:t xml:space="preserve"> or </w:t>
      </w:r>
      <w:r>
        <w:rPr>
          <w:rStyle w:val="hvr"/>
          <w:i/>
          <w:iCs/>
        </w:rPr>
        <w:t>property.</w:t>
      </w:r>
    </w:p>
    <w:p w:rsidR="00451A9C" w:rsidRDefault="00451A9C" w:rsidP="00451A9C">
      <w:pPr>
        <w:pStyle w:val="NormalWeb"/>
      </w:pPr>
      <w:r>
        <w:rPr>
          <w:rStyle w:val="hvr"/>
        </w:rPr>
        <w:t>Securities</w:t>
      </w:r>
      <w:r>
        <w:t xml:space="preserve"> </w:t>
      </w:r>
      <w:r>
        <w:rPr>
          <w:rStyle w:val="hvr"/>
        </w:rPr>
        <w:t>are</w:t>
      </w:r>
      <w:r>
        <w:t xml:space="preserve"> </w:t>
      </w:r>
      <w:r>
        <w:rPr>
          <w:rStyle w:val="hvr"/>
        </w:rPr>
        <w:t>documents</w:t>
      </w:r>
      <w:r>
        <w:t xml:space="preserve"> </w:t>
      </w:r>
      <w:r>
        <w:rPr>
          <w:rStyle w:val="hvr"/>
        </w:rPr>
        <w:t>that</w:t>
      </w:r>
      <w:r>
        <w:t xml:space="preserve"> </w:t>
      </w:r>
      <w:r>
        <w:rPr>
          <w:rStyle w:val="hvr"/>
        </w:rPr>
        <w:t>merely</w:t>
      </w:r>
      <w:r>
        <w:t xml:space="preserve"> </w:t>
      </w:r>
      <w:r>
        <w:rPr>
          <w:rStyle w:val="hvr"/>
        </w:rPr>
        <w:t>represent</w:t>
      </w:r>
      <w:r>
        <w:t xml:space="preserve"> an </w:t>
      </w:r>
      <w:r>
        <w:rPr>
          <w:rStyle w:val="hvr"/>
        </w:rPr>
        <w:t>interest</w:t>
      </w:r>
      <w:r>
        <w:t xml:space="preserve"> or a </w:t>
      </w:r>
      <w:r>
        <w:rPr>
          <w:rStyle w:val="hvr"/>
        </w:rPr>
        <w:t>right</w:t>
      </w:r>
      <w:r>
        <w:t xml:space="preserve"> in </w:t>
      </w:r>
      <w:r>
        <w:rPr>
          <w:rStyle w:val="hvr"/>
        </w:rPr>
        <w:t>something</w:t>
      </w:r>
      <w:r>
        <w:t xml:space="preserve"> </w:t>
      </w:r>
      <w:r>
        <w:rPr>
          <w:rStyle w:val="hvr"/>
        </w:rPr>
        <w:t>else;</w:t>
      </w:r>
      <w:r>
        <w:t xml:space="preserve"> </w:t>
      </w:r>
      <w:r>
        <w:rPr>
          <w:rStyle w:val="hvr"/>
        </w:rPr>
        <w:t>they</w:t>
      </w:r>
      <w:r>
        <w:t xml:space="preserve"> </w:t>
      </w:r>
      <w:r>
        <w:rPr>
          <w:rStyle w:val="hvr"/>
        </w:rPr>
        <w:t>are</w:t>
      </w:r>
      <w:r>
        <w:t xml:space="preserve"> </w:t>
      </w:r>
      <w:r>
        <w:rPr>
          <w:rStyle w:val="hvr"/>
        </w:rPr>
        <w:t>not</w:t>
      </w:r>
      <w:r>
        <w:t xml:space="preserve"> </w:t>
      </w:r>
      <w:r>
        <w:rPr>
          <w:rStyle w:val="hvr"/>
        </w:rPr>
        <w:t>consumed</w:t>
      </w:r>
      <w:r>
        <w:t xml:space="preserve"> or </w:t>
      </w:r>
      <w:r>
        <w:rPr>
          <w:rStyle w:val="hvr"/>
        </w:rPr>
        <w:t>used</w:t>
      </w:r>
      <w:r>
        <w:t xml:space="preserve"> in </w:t>
      </w:r>
      <w:r>
        <w:rPr>
          <w:rStyle w:val="hvr"/>
        </w:rPr>
        <w:t>the</w:t>
      </w:r>
      <w:r>
        <w:t xml:space="preserve"> </w:t>
      </w:r>
      <w:r>
        <w:rPr>
          <w:rStyle w:val="hvr"/>
        </w:rPr>
        <w:t>same</w:t>
      </w:r>
      <w:r>
        <w:t xml:space="preserve"> </w:t>
      </w:r>
      <w:r>
        <w:rPr>
          <w:rStyle w:val="hvr"/>
        </w:rPr>
        <w:t>way</w:t>
      </w:r>
      <w:r>
        <w:t xml:space="preserve"> as </w:t>
      </w:r>
      <w:r>
        <w:rPr>
          <w:rStyle w:val="hvr"/>
        </w:rPr>
        <w:t>traditional</w:t>
      </w:r>
      <w:r>
        <w:t xml:space="preserve"> </w:t>
      </w:r>
      <w:r>
        <w:rPr>
          <w:rStyle w:val="hvr"/>
        </w:rPr>
        <w:t>consumer</w:t>
      </w:r>
      <w:r>
        <w:t xml:space="preserve"> </w:t>
      </w:r>
      <w:r>
        <w:rPr>
          <w:rStyle w:val="hvr"/>
        </w:rPr>
        <w:t>goods</w:t>
      </w:r>
    </w:p>
    <w:p w:rsidR="00451A9C" w:rsidRDefault="00451A9C" w:rsidP="00451A9C">
      <w:pPr>
        <w:shd w:val="clear" w:color="auto" w:fill="FFFFFF"/>
        <w:spacing w:after="0" w:line="240" w:lineRule="auto"/>
        <w:rPr>
          <w:rStyle w:val="hvr"/>
        </w:rPr>
      </w:pPr>
      <w:r>
        <w:rPr>
          <w:rStyle w:val="hvr"/>
        </w:rPr>
        <w:t>Types</w:t>
      </w:r>
      <w:r>
        <w:t xml:space="preserve"> of </w:t>
      </w:r>
      <w:r>
        <w:rPr>
          <w:rStyle w:val="hvr"/>
        </w:rPr>
        <w:t>securities</w:t>
      </w:r>
      <w:r>
        <w:t xml:space="preserve"> </w:t>
      </w:r>
      <w:r>
        <w:rPr>
          <w:rStyle w:val="hvr"/>
        </w:rPr>
        <w:t>include</w:t>
      </w:r>
      <w:r>
        <w:t xml:space="preserve"> </w:t>
      </w:r>
      <w:r>
        <w:rPr>
          <w:rStyle w:val="hvr"/>
        </w:rPr>
        <w:t>notes,</w:t>
      </w:r>
      <w:r>
        <w:t xml:space="preserve"> </w:t>
      </w:r>
      <w:r>
        <w:rPr>
          <w:rStyle w:val="hvr"/>
        </w:rPr>
        <w:t>stocks,</w:t>
      </w:r>
      <w:r>
        <w:t xml:space="preserve"> </w:t>
      </w:r>
      <w:r>
        <w:rPr>
          <w:rStyle w:val="hvr"/>
        </w:rPr>
        <w:t>treasury</w:t>
      </w:r>
      <w:r>
        <w:t xml:space="preserve"> </w:t>
      </w:r>
      <w:r>
        <w:rPr>
          <w:rStyle w:val="hvr"/>
        </w:rPr>
        <w:t>stocks,</w:t>
      </w:r>
      <w:r>
        <w:t xml:space="preserve"> </w:t>
      </w:r>
      <w:r>
        <w:rPr>
          <w:rStyle w:val="hvr"/>
        </w:rPr>
        <w:t>bonds,</w:t>
      </w:r>
      <w:r>
        <w:t xml:space="preserve"> </w:t>
      </w:r>
      <w:r>
        <w:rPr>
          <w:rStyle w:val="hvr"/>
        </w:rPr>
        <w:t>debentures,</w:t>
      </w:r>
      <w:r>
        <w:t xml:space="preserve"> </w:t>
      </w:r>
      <w:r>
        <w:rPr>
          <w:rStyle w:val="hvr"/>
        </w:rPr>
        <w:t>certificates</w:t>
      </w:r>
      <w:r>
        <w:t xml:space="preserve"> of </w:t>
      </w:r>
      <w:r>
        <w:rPr>
          <w:rStyle w:val="hvr"/>
        </w:rPr>
        <w:t>interest</w:t>
      </w:r>
      <w:r>
        <w:t xml:space="preserve"> or </w:t>
      </w:r>
      <w:r>
        <w:rPr>
          <w:rStyle w:val="hvr"/>
        </w:rPr>
        <w:t>participation</w:t>
      </w:r>
      <w:r>
        <w:t xml:space="preserve"> in </w:t>
      </w:r>
      <w:r>
        <w:rPr>
          <w:rStyle w:val="hvr"/>
        </w:rPr>
        <w:t>profit-sharing</w:t>
      </w:r>
      <w:r>
        <w:t xml:space="preserve"> </w:t>
      </w:r>
      <w:r>
        <w:rPr>
          <w:rStyle w:val="hvr"/>
        </w:rPr>
        <w:t>agreements,</w:t>
      </w:r>
      <w:r>
        <w:t xml:space="preserve"> </w:t>
      </w:r>
      <w:r>
        <w:rPr>
          <w:rStyle w:val="hvr"/>
        </w:rPr>
        <w:t>collateral-trust</w:t>
      </w:r>
      <w:r>
        <w:t xml:space="preserve"> </w:t>
      </w:r>
      <w:r>
        <w:rPr>
          <w:rStyle w:val="hvr"/>
        </w:rPr>
        <w:t>certificates,</w:t>
      </w:r>
      <w:r>
        <w:t xml:space="preserve"> </w:t>
      </w:r>
      <w:r>
        <w:rPr>
          <w:rStyle w:val="hvr"/>
        </w:rPr>
        <w:t>preorganization</w:t>
      </w:r>
      <w:r>
        <w:t xml:space="preserve"> </w:t>
      </w:r>
      <w:r>
        <w:rPr>
          <w:rStyle w:val="hvr"/>
        </w:rPr>
        <w:t>certificates</w:t>
      </w:r>
      <w:r>
        <w:t xml:space="preserve"> or </w:t>
      </w:r>
      <w:r>
        <w:rPr>
          <w:rStyle w:val="hvr"/>
        </w:rPr>
        <w:lastRenderedPageBreak/>
        <w:t>subscriptions,</w:t>
      </w:r>
      <w:r>
        <w:t xml:space="preserve"> </w:t>
      </w:r>
      <w:r>
        <w:rPr>
          <w:rStyle w:val="hvr"/>
        </w:rPr>
        <w:t>transferable</w:t>
      </w:r>
      <w:r>
        <w:t xml:space="preserve"> </w:t>
      </w:r>
      <w:r>
        <w:rPr>
          <w:rStyle w:val="hvr"/>
        </w:rPr>
        <w:t>shares,</w:t>
      </w:r>
      <w:r>
        <w:t xml:space="preserve"> </w:t>
      </w:r>
      <w:r>
        <w:rPr>
          <w:rStyle w:val="hvr"/>
        </w:rPr>
        <w:t>investment</w:t>
      </w:r>
      <w:r>
        <w:t xml:space="preserve"> </w:t>
      </w:r>
      <w:r>
        <w:rPr>
          <w:rStyle w:val="hvr"/>
        </w:rPr>
        <w:t>contracts,</w:t>
      </w:r>
      <w:r>
        <w:t xml:space="preserve"> </w:t>
      </w:r>
      <w:r>
        <w:rPr>
          <w:rStyle w:val="hvr"/>
        </w:rPr>
        <w:t>voting-trust</w:t>
      </w:r>
      <w:r>
        <w:t xml:space="preserve"> </w:t>
      </w:r>
      <w:r>
        <w:rPr>
          <w:rStyle w:val="hvr"/>
        </w:rPr>
        <w:t>certificates,</w:t>
      </w:r>
      <w:r>
        <w:t xml:space="preserve"> </w:t>
      </w:r>
      <w:r>
        <w:rPr>
          <w:rStyle w:val="hvr"/>
        </w:rPr>
        <w:t>certificates</w:t>
      </w:r>
      <w:r>
        <w:t xml:space="preserve"> of </w:t>
      </w:r>
      <w:r>
        <w:rPr>
          <w:rStyle w:val="hvr"/>
        </w:rPr>
        <w:t>deposit</w:t>
      </w:r>
      <w:r>
        <w:t xml:space="preserve"> </w:t>
      </w:r>
      <w:r>
        <w:rPr>
          <w:rStyle w:val="hvr"/>
        </w:rPr>
        <w:t>for</w:t>
      </w:r>
      <w:r>
        <w:t xml:space="preserve"> a </w:t>
      </w:r>
      <w:r>
        <w:rPr>
          <w:rStyle w:val="hvr"/>
        </w:rPr>
        <w:t>security.</w:t>
      </w:r>
    </w:p>
    <w:p w:rsidR="00451A9C" w:rsidRPr="00C96BB0" w:rsidRDefault="00C96BB0" w:rsidP="00451A9C">
      <w:pPr>
        <w:pStyle w:val="Heading1"/>
        <w:rPr>
          <w:color w:val="000000" w:themeColor="text1"/>
          <w:sz w:val="36"/>
          <w:szCs w:val="36"/>
        </w:rPr>
      </w:pPr>
      <w:r>
        <w:rPr>
          <w:rStyle w:val="js-headword"/>
          <w:color w:val="000000" w:themeColor="text1"/>
          <w:sz w:val="36"/>
          <w:szCs w:val="36"/>
        </w:rPr>
        <w:t>F</w:t>
      </w:r>
      <w:r w:rsidR="00451A9C" w:rsidRPr="00C96BB0">
        <w:rPr>
          <w:rStyle w:val="js-headword"/>
          <w:color w:val="000000" w:themeColor="text1"/>
          <w:sz w:val="36"/>
          <w:szCs w:val="36"/>
        </w:rPr>
        <w:t>inance company</w:t>
      </w:r>
    </w:p>
    <w:p w:rsidR="00451A9C" w:rsidRDefault="00451A9C" w:rsidP="00451A9C">
      <w:pPr>
        <w:shd w:val="clear" w:color="auto" w:fill="FFFFFF"/>
        <w:spacing w:after="0" w:line="240" w:lineRule="auto"/>
        <w:rPr>
          <w:rStyle w:val="hvr"/>
        </w:rPr>
      </w:pPr>
    </w:p>
    <w:p w:rsidR="00451A9C" w:rsidRDefault="00451A9C" w:rsidP="00451A9C">
      <w:pPr>
        <w:spacing w:after="0" w:line="240" w:lineRule="auto"/>
        <w:rPr>
          <w:rFonts w:ascii="Times New Roman" w:eastAsia="Times New Roman" w:hAnsi="Times New Roman" w:cs="Times New Roman"/>
          <w:sz w:val="24"/>
          <w:szCs w:val="24"/>
        </w:rPr>
      </w:pPr>
      <w:r w:rsidRPr="00077AF1">
        <w:rPr>
          <w:rFonts w:ascii="Times New Roman" w:eastAsia="Times New Roman" w:hAnsi="Times New Roman" w:cs="Times New Roman"/>
          <w:sz w:val="24"/>
          <w:szCs w:val="24"/>
        </w:rPr>
        <w:t xml:space="preserve">an institution engaged in such specialized forms of financing as purchasing accounts receivable, extending credit to retailers and manufacturers, discounting installment contracts, and granting loans with goods as security. </w:t>
      </w:r>
    </w:p>
    <w:p w:rsidR="00451A9C" w:rsidRDefault="00451A9C" w:rsidP="00451A9C">
      <w:pPr>
        <w:spacing w:after="0" w:line="240" w:lineRule="auto"/>
        <w:rPr>
          <w:rFonts w:ascii="Times New Roman" w:eastAsia="Times New Roman" w:hAnsi="Times New Roman" w:cs="Times New Roman"/>
          <w:sz w:val="24"/>
          <w:szCs w:val="24"/>
        </w:rPr>
      </w:pPr>
    </w:p>
    <w:p w:rsidR="00451A9C" w:rsidRPr="00D53E71" w:rsidRDefault="00D53E71" w:rsidP="00451A9C">
      <w:pPr>
        <w:pStyle w:val="Heading1"/>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M</w:t>
      </w:r>
      <w:r w:rsidR="00451A9C" w:rsidRPr="00D53E71">
        <w:rPr>
          <w:rFonts w:ascii="Times New Roman" w:hAnsi="Times New Roman" w:cs="Times New Roman"/>
          <w:color w:val="000000" w:themeColor="text1"/>
          <w:sz w:val="36"/>
          <w:szCs w:val="36"/>
        </w:rPr>
        <w:t>utual fund</w:t>
      </w:r>
    </w:p>
    <w:p w:rsidR="00451A9C" w:rsidRDefault="00451A9C" w:rsidP="00451A9C">
      <w:pPr>
        <w:spacing w:after="0" w:line="240" w:lineRule="auto"/>
        <w:rPr>
          <w:rFonts w:ascii="Times New Roman" w:eastAsia="Times New Roman" w:hAnsi="Times New Roman" w:cs="Times New Roman"/>
          <w:sz w:val="24"/>
          <w:szCs w:val="24"/>
        </w:rPr>
      </w:pPr>
    </w:p>
    <w:p w:rsidR="00451A9C" w:rsidRPr="00D53E71" w:rsidRDefault="00451A9C" w:rsidP="00451A9C">
      <w:pPr>
        <w:spacing w:after="0" w:line="240" w:lineRule="auto"/>
        <w:rPr>
          <w:rFonts w:ascii="Times New Roman" w:eastAsia="Times New Roman" w:hAnsi="Times New Roman" w:cs="Times New Roman"/>
          <w:color w:val="000000" w:themeColor="text1"/>
          <w:sz w:val="24"/>
          <w:szCs w:val="24"/>
        </w:rPr>
      </w:pPr>
      <w:r w:rsidRPr="00D53E71">
        <w:rPr>
          <w:rFonts w:ascii="Times New Roman" w:eastAsia="Times New Roman" w:hAnsi="Times New Roman" w:cs="Times New Roman"/>
          <w:color w:val="000000" w:themeColor="text1"/>
          <w:sz w:val="24"/>
          <w:szCs w:val="24"/>
        </w:rPr>
        <w:t xml:space="preserve">An </w:t>
      </w:r>
      <w:hyperlink r:id="rId23" w:history="1">
        <w:r w:rsidRPr="00D53E71">
          <w:rPr>
            <w:rFonts w:ascii="Times New Roman" w:eastAsia="Times New Roman" w:hAnsi="Times New Roman" w:cs="Times New Roman"/>
            <w:color w:val="000000" w:themeColor="text1"/>
            <w:sz w:val="24"/>
            <w:szCs w:val="24"/>
          </w:rPr>
          <w:t>open-ended</w:t>
        </w:r>
      </w:hyperlink>
      <w:r w:rsidRPr="00D53E71">
        <w:rPr>
          <w:rFonts w:ascii="Times New Roman" w:eastAsia="Times New Roman" w:hAnsi="Times New Roman" w:cs="Times New Roman"/>
          <w:color w:val="000000" w:themeColor="text1"/>
          <w:sz w:val="24"/>
          <w:szCs w:val="24"/>
        </w:rPr>
        <w:t xml:space="preserve"> </w:t>
      </w:r>
      <w:hyperlink r:id="rId24" w:history="1">
        <w:r w:rsidRPr="00D53E71">
          <w:rPr>
            <w:rFonts w:ascii="Times New Roman" w:eastAsia="Times New Roman" w:hAnsi="Times New Roman" w:cs="Times New Roman"/>
            <w:color w:val="000000" w:themeColor="text1"/>
            <w:sz w:val="24"/>
            <w:szCs w:val="24"/>
          </w:rPr>
          <w:t>fund</w:t>
        </w:r>
      </w:hyperlink>
      <w:r w:rsidRPr="00D53E71">
        <w:rPr>
          <w:rFonts w:ascii="Times New Roman" w:eastAsia="Times New Roman" w:hAnsi="Times New Roman" w:cs="Times New Roman"/>
          <w:color w:val="000000" w:themeColor="text1"/>
          <w:sz w:val="24"/>
          <w:szCs w:val="24"/>
        </w:rPr>
        <w:t xml:space="preserve"> operated by an </w:t>
      </w:r>
      <w:hyperlink r:id="rId25" w:history="1">
        <w:r w:rsidRPr="00D53E71">
          <w:rPr>
            <w:rFonts w:ascii="Times New Roman" w:eastAsia="Times New Roman" w:hAnsi="Times New Roman" w:cs="Times New Roman"/>
            <w:color w:val="000000" w:themeColor="text1"/>
            <w:sz w:val="24"/>
            <w:szCs w:val="24"/>
          </w:rPr>
          <w:t>investment company</w:t>
        </w:r>
      </w:hyperlink>
      <w:r w:rsidRPr="00D53E71">
        <w:rPr>
          <w:rFonts w:ascii="Times New Roman" w:eastAsia="Times New Roman" w:hAnsi="Times New Roman" w:cs="Times New Roman"/>
          <w:color w:val="000000" w:themeColor="text1"/>
          <w:sz w:val="24"/>
          <w:szCs w:val="24"/>
        </w:rPr>
        <w:t xml:space="preserve"> which </w:t>
      </w:r>
      <w:hyperlink r:id="rId26" w:history="1">
        <w:r w:rsidRPr="00D53E71">
          <w:rPr>
            <w:rFonts w:ascii="Times New Roman" w:eastAsia="Times New Roman" w:hAnsi="Times New Roman" w:cs="Times New Roman"/>
            <w:color w:val="000000" w:themeColor="text1"/>
            <w:sz w:val="24"/>
            <w:szCs w:val="24"/>
          </w:rPr>
          <w:t>raises</w:t>
        </w:r>
      </w:hyperlink>
      <w:r w:rsidRPr="00D53E71">
        <w:rPr>
          <w:rFonts w:ascii="Times New Roman" w:eastAsia="Times New Roman" w:hAnsi="Times New Roman" w:cs="Times New Roman"/>
          <w:color w:val="000000" w:themeColor="text1"/>
          <w:sz w:val="24"/>
          <w:szCs w:val="24"/>
        </w:rPr>
        <w:t xml:space="preserve"> </w:t>
      </w:r>
      <w:hyperlink r:id="rId27" w:history="1">
        <w:r w:rsidRPr="00D53E71">
          <w:rPr>
            <w:rFonts w:ascii="Times New Roman" w:eastAsia="Times New Roman" w:hAnsi="Times New Roman" w:cs="Times New Roman"/>
            <w:color w:val="000000" w:themeColor="text1"/>
            <w:sz w:val="24"/>
            <w:szCs w:val="24"/>
          </w:rPr>
          <w:t>money</w:t>
        </w:r>
      </w:hyperlink>
      <w:r w:rsidRPr="00D53E71">
        <w:rPr>
          <w:rFonts w:ascii="Times New Roman" w:eastAsia="Times New Roman" w:hAnsi="Times New Roman" w:cs="Times New Roman"/>
          <w:color w:val="000000" w:themeColor="text1"/>
          <w:sz w:val="24"/>
          <w:szCs w:val="24"/>
        </w:rPr>
        <w:t xml:space="preserve"> from </w:t>
      </w:r>
      <w:hyperlink r:id="rId28" w:history="1">
        <w:r w:rsidRPr="00D53E71">
          <w:rPr>
            <w:rFonts w:ascii="Times New Roman" w:eastAsia="Times New Roman" w:hAnsi="Times New Roman" w:cs="Times New Roman"/>
            <w:color w:val="000000" w:themeColor="text1"/>
            <w:sz w:val="24"/>
            <w:szCs w:val="24"/>
          </w:rPr>
          <w:t>shareholders</w:t>
        </w:r>
      </w:hyperlink>
      <w:r w:rsidRPr="00D53E71">
        <w:rPr>
          <w:rFonts w:ascii="Times New Roman" w:eastAsia="Times New Roman" w:hAnsi="Times New Roman" w:cs="Times New Roman"/>
          <w:color w:val="000000" w:themeColor="text1"/>
          <w:sz w:val="24"/>
          <w:szCs w:val="24"/>
        </w:rPr>
        <w:t xml:space="preserve"> and </w:t>
      </w:r>
      <w:hyperlink r:id="rId29" w:history="1">
        <w:r w:rsidRPr="00D53E71">
          <w:rPr>
            <w:rFonts w:ascii="Times New Roman" w:eastAsia="Times New Roman" w:hAnsi="Times New Roman" w:cs="Times New Roman"/>
            <w:color w:val="000000" w:themeColor="text1"/>
            <w:sz w:val="24"/>
            <w:szCs w:val="24"/>
          </w:rPr>
          <w:t>invests</w:t>
        </w:r>
      </w:hyperlink>
      <w:r w:rsidRPr="00D53E71">
        <w:rPr>
          <w:rFonts w:ascii="Times New Roman" w:eastAsia="Times New Roman" w:hAnsi="Times New Roman" w:cs="Times New Roman"/>
          <w:color w:val="000000" w:themeColor="text1"/>
          <w:sz w:val="24"/>
          <w:szCs w:val="24"/>
        </w:rPr>
        <w:t xml:space="preserve"> in a group of </w:t>
      </w:r>
      <w:hyperlink r:id="rId30" w:history="1">
        <w:r w:rsidRPr="00D53E71">
          <w:rPr>
            <w:rFonts w:ascii="Times New Roman" w:eastAsia="Times New Roman" w:hAnsi="Times New Roman" w:cs="Times New Roman"/>
            <w:color w:val="000000" w:themeColor="text1"/>
            <w:sz w:val="24"/>
            <w:szCs w:val="24"/>
          </w:rPr>
          <w:t>assets</w:t>
        </w:r>
      </w:hyperlink>
      <w:r w:rsidRPr="00D53E71">
        <w:rPr>
          <w:rFonts w:ascii="Times New Roman" w:eastAsia="Times New Roman" w:hAnsi="Times New Roman" w:cs="Times New Roman"/>
          <w:color w:val="000000" w:themeColor="text1"/>
          <w:sz w:val="24"/>
          <w:szCs w:val="24"/>
        </w:rPr>
        <w:t xml:space="preserve">, in </w:t>
      </w:r>
      <w:hyperlink r:id="rId31" w:history="1">
        <w:r w:rsidRPr="00D53E71">
          <w:rPr>
            <w:rFonts w:ascii="Times New Roman" w:eastAsia="Times New Roman" w:hAnsi="Times New Roman" w:cs="Times New Roman"/>
            <w:color w:val="000000" w:themeColor="text1"/>
            <w:sz w:val="24"/>
            <w:szCs w:val="24"/>
          </w:rPr>
          <w:t>accordance</w:t>
        </w:r>
      </w:hyperlink>
      <w:r w:rsidRPr="00D53E71">
        <w:rPr>
          <w:rFonts w:ascii="Times New Roman" w:eastAsia="Times New Roman" w:hAnsi="Times New Roman" w:cs="Times New Roman"/>
          <w:color w:val="000000" w:themeColor="text1"/>
          <w:sz w:val="24"/>
          <w:szCs w:val="24"/>
        </w:rPr>
        <w:t xml:space="preserve"> with a stated set of </w:t>
      </w:r>
      <w:hyperlink r:id="rId32" w:history="1">
        <w:r w:rsidRPr="00D53E71">
          <w:rPr>
            <w:rFonts w:ascii="Times New Roman" w:eastAsia="Times New Roman" w:hAnsi="Times New Roman" w:cs="Times New Roman"/>
            <w:color w:val="000000" w:themeColor="text1"/>
            <w:sz w:val="24"/>
            <w:szCs w:val="24"/>
          </w:rPr>
          <w:t>objectives</w:t>
        </w:r>
      </w:hyperlink>
    </w:p>
    <w:p w:rsidR="00451A9C" w:rsidRDefault="00451A9C" w:rsidP="00451A9C">
      <w:pPr>
        <w:shd w:val="clear" w:color="auto" w:fill="FFFFFF"/>
        <w:spacing w:after="0" w:line="240" w:lineRule="auto"/>
        <w:rPr>
          <w:rFonts w:ascii="Times New Roman" w:eastAsia="Times New Roman" w:hAnsi="Times New Roman" w:cs="Times New Roman"/>
          <w:sz w:val="24"/>
          <w:szCs w:val="24"/>
        </w:rPr>
      </w:pPr>
      <w:r w:rsidRPr="004B0BE5">
        <w:rPr>
          <w:rFonts w:ascii="Times New Roman" w:eastAsia="Times New Roman" w:hAnsi="Times New Roman" w:cs="Times New Roman"/>
          <w:color w:val="000000"/>
          <w:sz w:val="24"/>
          <w:szCs w:val="24"/>
        </w:rPr>
        <w:br/>
      </w:r>
    </w:p>
    <w:p w:rsidR="001A49DC" w:rsidRDefault="00D53E71" w:rsidP="001A49DC">
      <w:pPr>
        <w:pStyle w:val="Heading2"/>
      </w:pPr>
      <w:r>
        <w:t>Pension Fund</w:t>
      </w:r>
    </w:p>
    <w:p w:rsidR="00451A9C" w:rsidRPr="001A49DC" w:rsidRDefault="00451A9C" w:rsidP="001A49DC">
      <w:pPr>
        <w:pStyle w:val="Heading2"/>
        <w:rPr>
          <w:b w:val="0"/>
          <w:sz w:val="22"/>
          <w:szCs w:val="22"/>
        </w:rPr>
      </w:pPr>
      <w:r w:rsidRPr="001A49DC">
        <w:rPr>
          <w:b w:val="0"/>
          <w:sz w:val="22"/>
          <w:szCs w:val="22"/>
        </w:rPr>
        <w:t xml:space="preserve">A fund established by an employer to facilitate and organize the investment of employees' retirement funds contributed by the employer and employees. The pension fund is a common asset pool meant to generate stable growth over the long term, and provide pensions for employees when they reach the end of their working years and commence retirement. </w:t>
      </w:r>
    </w:p>
    <w:p w:rsidR="007C5D72" w:rsidRDefault="007C5D72" w:rsidP="007C5D72">
      <w:pPr>
        <w:shd w:val="clear" w:color="auto" w:fill="FFFFFF"/>
        <w:spacing w:before="100" w:beforeAutospacing="1" w:after="24" w:line="240" w:lineRule="auto"/>
        <w:rPr>
          <w:rFonts w:ascii="Times New Roman" w:eastAsia="Times New Roman" w:hAnsi="Times New Roman" w:cs="Times New Roman"/>
          <w:noProof/>
          <w:color w:val="252525"/>
          <w:sz w:val="24"/>
          <w:szCs w:val="24"/>
          <w:lang w:bidi="bn-IN"/>
        </w:rPr>
      </w:pPr>
    </w:p>
    <w:p w:rsidR="007C5D72" w:rsidRPr="000B0F91" w:rsidRDefault="007C5D72" w:rsidP="007C5D72">
      <w:pPr>
        <w:shd w:val="clear" w:color="auto" w:fill="FFFFFF"/>
        <w:spacing w:before="100" w:beforeAutospacing="1" w:after="24" w:line="240" w:lineRule="auto"/>
        <w:rPr>
          <w:rFonts w:ascii="Times New Roman" w:hAnsi="Times New Roman" w:cs="Times New Roman"/>
          <w:b/>
          <w:bCs/>
          <w:sz w:val="32"/>
          <w:szCs w:val="32"/>
          <w:lang w:bidi="bn-IN"/>
        </w:rPr>
      </w:pPr>
    </w:p>
    <w:p w:rsidR="00D92C74" w:rsidRPr="001A49DC" w:rsidRDefault="001A49DC" w:rsidP="00D92C74">
      <w:pPr>
        <w:spacing w:before="100" w:beforeAutospacing="1" w:after="100" w:afterAutospacing="1" w:line="240" w:lineRule="auto"/>
        <w:rPr>
          <w:rFonts w:ascii="Times New Roman" w:eastAsia="Times New Roman" w:hAnsi="Times New Roman" w:cs="Times New Roman"/>
          <w:b/>
          <w:color w:val="000000" w:themeColor="text1"/>
          <w:sz w:val="36"/>
          <w:szCs w:val="36"/>
        </w:rPr>
      </w:pPr>
      <w:r w:rsidRPr="001A49DC">
        <w:rPr>
          <w:rFonts w:ascii="Times New Roman" w:eastAsia="Times New Roman" w:hAnsi="Times New Roman" w:cs="Times New Roman"/>
          <w:b/>
          <w:color w:val="252525"/>
          <w:sz w:val="36"/>
          <w:szCs w:val="36"/>
        </w:rPr>
        <w:t>Percentage shares of assets of financial institutions :</w:t>
      </w:r>
    </w:p>
    <w:p w:rsidR="00B74FA9" w:rsidRDefault="00B74FA9" w:rsidP="00D92C74">
      <w:pPr>
        <w:spacing w:before="100" w:beforeAutospacing="1" w:after="100" w:afterAutospacing="1" w:line="240" w:lineRule="auto"/>
        <w:rPr>
          <w:rFonts w:ascii="Times New Roman" w:eastAsia="Times New Roman" w:hAnsi="Times New Roman" w:cs="Times New Roman"/>
          <w:b/>
          <w:color w:val="000000" w:themeColor="text1"/>
          <w:sz w:val="24"/>
          <w:szCs w:val="24"/>
        </w:rPr>
      </w:pPr>
    </w:p>
    <w:p w:rsidR="00B74FA9" w:rsidRDefault="00AF3C51" w:rsidP="00D92C74">
      <w:pPr>
        <w:spacing w:before="100" w:beforeAutospacing="1" w:after="100" w:afterAutospacing="1" w:line="24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eastAsia="ja-JP"/>
        </w:rPr>
        <w:lastRenderedPageBreak/>
        <w:drawing>
          <wp:inline distT="0" distB="0" distL="0" distR="0">
            <wp:extent cx="5238750" cy="3867150"/>
            <wp:effectExtent l="19050" t="0" r="0" b="0"/>
            <wp:docPr id="1" name="Picture 1" descr="C:\Users\Jannat Nira\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nnat Nira\Desktop\Capture.PNG"/>
                    <pic:cNvPicPr>
                      <a:picLocks noChangeAspect="1" noChangeArrowheads="1"/>
                    </pic:cNvPicPr>
                  </pic:nvPicPr>
                  <pic:blipFill>
                    <a:blip r:embed="rId33"/>
                    <a:srcRect/>
                    <a:stretch>
                      <a:fillRect/>
                    </a:stretch>
                  </pic:blipFill>
                  <pic:spPr bwMode="auto">
                    <a:xfrm>
                      <a:off x="0" y="0"/>
                      <a:ext cx="5238750" cy="3867150"/>
                    </a:xfrm>
                    <a:prstGeom prst="rect">
                      <a:avLst/>
                    </a:prstGeom>
                    <a:noFill/>
                    <a:ln w="9525">
                      <a:noFill/>
                      <a:miter lim="800000"/>
                      <a:headEnd/>
                      <a:tailEnd/>
                    </a:ln>
                  </pic:spPr>
                </pic:pic>
              </a:graphicData>
            </a:graphic>
          </wp:inline>
        </w:drawing>
      </w:r>
    </w:p>
    <w:p w:rsidR="00AF3C51" w:rsidRDefault="00AF3C51" w:rsidP="00D92C74">
      <w:pPr>
        <w:spacing w:before="100" w:beforeAutospacing="1" w:after="100" w:afterAutospacing="1" w:line="240" w:lineRule="auto"/>
        <w:rPr>
          <w:rFonts w:ascii="Times New Roman" w:eastAsia="Times New Roman" w:hAnsi="Times New Roman" w:cs="Times New Roman"/>
          <w:b/>
          <w:color w:val="000000" w:themeColor="text1"/>
          <w:sz w:val="24"/>
          <w:szCs w:val="24"/>
        </w:rPr>
      </w:pPr>
    </w:p>
    <w:p w:rsidR="00AF3C51" w:rsidRDefault="00AF3C51" w:rsidP="00D92C74">
      <w:pPr>
        <w:spacing w:before="100" w:beforeAutospacing="1" w:after="100" w:afterAutospacing="1" w:line="240" w:lineRule="auto"/>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lang w:eastAsia="ja-JP"/>
        </w:rPr>
        <w:drawing>
          <wp:inline distT="0" distB="0" distL="0" distR="0">
            <wp:extent cx="5162550" cy="2695575"/>
            <wp:effectExtent l="19050" t="0" r="0" b="0"/>
            <wp:docPr id="3" name="Picture 2" descr="C:\Users\Jannat Nira\Desk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nnat Nira\Desktop\,,,,,,,,,.PNG"/>
                    <pic:cNvPicPr>
                      <a:picLocks noChangeAspect="1" noChangeArrowheads="1"/>
                    </pic:cNvPicPr>
                  </pic:nvPicPr>
                  <pic:blipFill>
                    <a:blip r:embed="rId34"/>
                    <a:srcRect/>
                    <a:stretch>
                      <a:fillRect/>
                    </a:stretch>
                  </pic:blipFill>
                  <pic:spPr bwMode="auto">
                    <a:xfrm>
                      <a:off x="0" y="0"/>
                      <a:ext cx="5162550" cy="2695575"/>
                    </a:xfrm>
                    <a:prstGeom prst="rect">
                      <a:avLst/>
                    </a:prstGeom>
                    <a:noFill/>
                    <a:ln w="9525">
                      <a:noFill/>
                      <a:miter lim="800000"/>
                      <a:headEnd/>
                      <a:tailEnd/>
                    </a:ln>
                  </pic:spPr>
                </pic:pic>
              </a:graphicData>
            </a:graphic>
          </wp:inline>
        </w:drawing>
      </w:r>
    </w:p>
    <w:p w:rsidR="00B74FA9" w:rsidRDefault="00B74FA9" w:rsidP="00D92C74">
      <w:pPr>
        <w:spacing w:before="100" w:beforeAutospacing="1" w:after="100" w:afterAutospacing="1" w:line="240" w:lineRule="auto"/>
        <w:rPr>
          <w:rFonts w:ascii="Times New Roman" w:eastAsia="Times New Roman" w:hAnsi="Times New Roman" w:cs="Times New Roman"/>
          <w:b/>
          <w:color w:val="000000" w:themeColor="text1"/>
          <w:sz w:val="24"/>
          <w:szCs w:val="24"/>
        </w:rPr>
      </w:pPr>
    </w:p>
    <w:p w:rsidR="00B74FA9" w:rsidRDefault="00B74FA9" w:rsidP="00D92C74">
      <w:pPr>
        <w:spacing w:before="100" w:beforeAutospacing="1" w:after="100" w:afterAutospacing="1" w:line="240" w:lineRule="auto"/>
        <w:rPr>
          <w:rFonts w:ascii="Times New Roman" w:eastAsia="Times New Roman" w:hAnsi="Times New Roman" w:cs="Times New Roman"/>
          <w:b/>
          <w:color w:val="000000" w:themeColor="text1"/>
          <w:sz w:val="24"/>
          <w:szCs w:val="24"/>
        </w:rPr>
      </w:pPr>
    </w:p>
    <w:p w:rsidR="00B74FA9" w:rsidRDefault="00B74FA9" w:rsidP="00D92C74">
      <w:pPr>
        <w:spacing w:before="100" w:beforeAutospacing="1" w:after="100" w:afterAutospacing="1" w:line="240" w:lineRule="auto"/>
        <w:rPr>
          <w:rFonts w:ascii="Times New Roman" w:eastAsia="Times New Roman" w:hAnsi="Times New Roman" w:cs="Times New Roman"/>
          <w:b/>
          <w:color w:val="000000" w:themeColor="text1"/>
          <w:sz w:val="24"/>
          <w:szCs w:val="24"/>
        </w:rPr>
      </w:pPr>
    </w:p>
    <w:p w:rsidR="007E1456" w:rsidRDefault="007E1456" w:rsidP="009B6BFB">
      <w:pPr>
        <w:spacing w:after="0" w:line="240" w:lineRule="auto"/>
        <w:rPr>
          <w:rFonts w:ascii="Times New Roman" w:hAnsi="Times New Roman" w:cs="Times New Roman"/>
          <w:sz w:val="24"/>
          <w:szCs w:val="24"/>
        </w:rPr>
      </w:pPr>
    </w:p>
    <w:p w:rsidR="007E1456" w:rsidRDefault="007E1456" w:rsidP="009B6BFB">
      <w:pPr>
        <w:spacing w:after="0" w:line="240" w:lineRule="auto"/>
        <w:rPr>
          <w:rFonts w:ascii="Times New Roman" w:hAnsi="Times New Roman" w:cs="Times New Roman"/>
          <w:b/>
          <w:sz w:val="32"/>
          <w:szCs w:val="32"/>
        </w:rPr>
      </w:pPr>
      <w:r w:rsidRPr="007E1456">
        <w:rPr>
          <w:rFonts w:ascii="Times New Roman" w:hAnsi="Times New Roman" w:cs="Times New Roman"/>
          <w:b/>
          <w:sz w:val="32"/>
          <w:szCs w:val="32"/>
        </w:rPr>
        <w:t>Conclusion:</w:t>
      </w:r>
    </w:p>
    <w:p w:rsidR="007E1456" w:rsidRDefault="007E1456" w:rsidP="009B6BFB">
      <w:pPr>
        <w:spacing w:after="0" w:line="240" w:lineRule="auto"/>
        <w:rPr>
          <w:rFonts w:ascii="Times New Roman" w:hAnsi="Times New Roman" w:cs="Times New Roman"/>
          <w:b/>
          <w:sz w:val="32"/>
          <w:szCs w:val="32"/>
        </w:rPr>
      </w:pPr>
    </w:p>
    <w:p w:rsidR="007E1456" w:rsidRPr="007E1456" w:rsidRDefault="007E1456" w:rsidP="009B6BFB">
      <w:pPr>
        <w:spacing w:after="0" w:line="240" w:lineRule="auto"/>
        <w:rPr>
          <w:rFonts w:ascii="Times New Roman" w:hAnsi="Times New Roman" w:cs="Times New Roman"/>
          <w:b/>
          <w:sz w:val="24"/>
          <w:szCs w:val="24"/>
        </w:rPr>
      </w:pPr>
      <w:r w:rsidRPr="007E1456">
        <w:rPr>
          <w:rFonts w:ascii="Times New Roman" w:hAnsi="Times New Roman" w:cs="Times New Roman"/>
          <w:sz w:val="24"/>
          <w:szCs w:val="24"/>
        </w:rPr>
        <w:t>The financial sector of Bangladesh is generally small and underdeveloped. This sector consists of a banking segment and an emerging but still nascent capital market segment. The banking segment in the country is relatively more developed than the equity market segment, even though both are quite underdeveloped in international comparison. The root causes of the Bangladeshi financial sector problem are the lack of market discipline due to lack of competition in the banking industry. Excessive government intervention and political connections, economic and political corruptions, operational and managerial inefficiency and ineffectiveness result in vicious circle that inhibits economic development, industrialization, and social progresses in poor and developing countries in general and in Bangladesh in particular. Authors’ suggested that in the financial regulation should be strengthened and further needed reforms should be carried out. In addition, an ombudsman may be appointed in the financial sector. The ombudsman can act independently to investigate any complaints regarding financial services and must work freely and independently. Better financial services and diversified financial products would be the natural consequence of competitive financial industry. The authors argue that a strengthened regulatory environment and additional much needed financial sector reforms, a better and more efficient financial sector may evolve over time and serve better the development needs of the country.</w:t>
      </w:r>
    </w:p>
    <w:p w:rsidR="007E1456" w:rsidRDefault="007E1456" w:rsidP="009B6BFB">
      <w:pPr>
        <w:spacing w:after="0" w:line="240" w:lineRule="auto"/>
        <w:rPr>
          <w:rFonts w:ascii="Times New Roman" w:eastAsia="Times New Roman" w:hAnsi="Times New Roman" w:cs="Times New Roman"/>
          <w:b/>
          <w:color w:val="000000" w:themeColor="text1"/>
          <w:sz w:val="24"/>
          <w:szCs w:val="24"/>
        </w:rPr>
      </w:pPr>
    </w:p>
    <w:p w:rsidR="00FC21FA" w:rsidRDefault="00FC21FA" w:rsidP="009B6BFB">
      <w:pPr>
        <w:spacing w:after="0" w:line="240" w:lineRule="auto"/>
        <w:rPr>
          <w:rFonts w:ascii="Times New Roman" w:eastAsia="Times New Roman" w:hAnsi="Times New Roman" w:cs="Times New Roman"/>
          <w:b/>
          <w:color w:val="000000" w:themeColor="text1"/>
          <w:sz w:val="24"/>
          <w:szCs w:val="24"/>
        </w:rPr>
      </w:pPr>
    </w:p>
    <w:p w:rsidR="007E1456" w:rsidRPr="00D53E71" w:rsidRDefault="007E1456" w:rsidP="009B6BFB">
      <w:pPr>
        <w:spacing w:after="0" w:line="240" w:lineRule="auto"/>
        <w:rPr>
          <w:rFonts w:ascii="Times New Roman" w:eastAsia="Times New Roman" w:hAnsi="Times New Roman" w:cs="Times New Roman"/>
          <w:b/>
          <w:color w:val="000000" w:themeColor="text1"/>
          <w:sz w:val="36"/>
          <w:szCs w:val="36"/>
        </w:rPr>
      </w:pPr>
      <w:r w:rsidRPr="00D53E71">
        <w:rPr>
          <w:rFonts w:ascii="Times New Roman" w:eastAsia="Times New Roman" w:hAnsi="Times New Roman" w:cs="Times New Roman"/>
          <w:b/>
          <w:color w:val="000000" w:themeColor="text1"/>
          <w:sz w:val="36"/>
          <w:szCs w:val="36"/>
        </w:rPr>
        <w:t>References:</w:t>
      </w:r>
    </w:p>
    <w:p w:rsidR="00FC21FA" w:rsidRDefault="00FC21FA" w:rsidP="009B6BFB">
      <w:pPr>
        <w:spacing w:after="0" w:line="240" w:lineRule="auto"/>
        <w:rPr>
          <w:rFonts w:ascii="Times New Roman" w:eastAsia="Times New Roman" w:hAnsi="Times New Roman" w:cs="Times New Roman"/>
          <w:b/>
          <w:color w:val="000000" w:themeColor="text1"/>
          <w:sz w:val="24"/>
          <w:szCs w:val="24"/>
        </w:rPr>
      </w:pPr>
    </w:p>
    <w:p w:rsidR="007C23D7" w:rsidRPr="00FC21FA" w:rsidRDefault="007C23D7" w:rsidP="009B6BFB">
      <w:pPr>
        <w:spacing w:after="0" w:line="240" w:lineRule="auto"/>
        <w:rPr>
          <w:rFonts w:ascii="Times New Roman" w:hAnsi="Times New Roman" w:cs="Times New Roman"/>
          <w:sz w:val="24"/>
          <w:szCs w:val="24"/>
        </w:rPr>
      </w:pPr>
      <w:r w:rsidRPr="00FC21FA">
        <w:rPr>
          <w:rFonts w:ascii="Times New Roman" w:eastAsia="Times New Roman" w:hAnsi="Times New Roman" w:cs="Times New Roman"/>
          <w:color w:val="000000" w:themeColor="text1"/>
          <w:sz w:val="24"/>
          <w:szCs w:val="24"/>
        </w:rPr>
        <w:t xml:space="preserve">ASSIGNMENT POINT (2011) </w:t>
      </w:r>
      <w:r w:rsidRPr="00FC21FA">
        <w:rPr>
          <w:rFonts w:ascii="Times New Roman" w:eastAsia="Times New Roman" w:hAnsi="Times New Roman" w:cs="Times New Roman"/>
          <w:i/>
          <w:color w:val="000000" w:themeColor="text1"/>
          <w:sz w:val="24"/>
          <w:szCs w:val="24"/>
        </w:rPr>
        <w:t>Financial overview of Bangladesh.</w:t>
      </w:r>
      <w:r w:rsidRPr="00FC21FA">
        <w:rPr>
          <w:rFonts w:ascii="Times New Roman" w:eastAsia="Times New Roman" w:hAnsi="Times New Roman" w:cs="Times New Roman"/>
          <w:color w:val="000000" w:themeColor="text1"/>
          <w:sz w:val="24"/>
          <w:szCs w:val="24"/>
        </w:rPr>
        <w:t>[Online] available from:</w:t>
      </w:r>
      <w:r w:rsidRPr="00FC21FA">
        <w:rPr>
          <w:rFonts w:ascii="Times New Roman" w:hAnsi="Times New Roman" w:cs="Times New Roman"/>
          <w:sz w:val="24"/>
          <w:szCs w:val="24"/>
        </w:rPr>
        <w:t xml:space="preserve"> </w:t>
      </w:r>
      <w:hyperlink r:id="rId35" w:history="1">
        <w:r w:rsidRPr="00FC21FA">
          <w:rPr>
            <w:rStyle w:val="Hyperlink"/>
            <w:rFonts w:ascii="Times New Roman" w:hAnsi="Times New Roman" w:cs="Times New Roman"/>
            <w:sz w:val="24"/>
            <w:szCs w:val="24"/>
          </w:rPr>
          <w:t>http://assignmentpoint.com</w:t>
        </w:r>
      </w:hyperlink>
    </w:p>
    <w:p w:rsidR="007C23D7" w:rsidRPr="00FC21FA" w:rsidRDefault="00FC21FA" w:rsidP="009B6BFB">
      <w:pPr>
        <w:spacing w:after="0" w:line="240" w:lineRule="auto"/>
        <w:rPr>
          <w:rFonts w:ascii="Times New Roman" w:hAnsi="Times New Roman" w:cs="Times New Roman"/>
          <w:sz w:val="24"/>
          <w:szCs w:val="24"/>
        </w:rPr>
      </w:pPr>
      <w:r w:rsidRPr="00FC21FA">
        <w:rPr>
          <w:rFonts w:ascii="Times New Roman" w:eastAsia="Times New Roman" w:hAnsi="Times New Roman" w:cs="Times New Roman"/>
          <w:color w:val="000000" w:themeColor="text1"/>
          <w:sz w:val="24"/>
          <w:szCs w:val="24"/>
        </w:rPr>
        <w:t xml:space="preserve">GOOGLE (2014) List of insurance company in bd. [online] available from: </w:t>
      </w:r>
      <w:hyperlink r:id="rId36" w:history="1">
        <w:r w:rsidRPr="00FC21FA">
          <w:rPr>
            <w:rStyle w:val="Hyperlink"/>
            <w:rFonts w:ascii="Times New Roman" w:hAnsi="Times New Roman" w:cs="Times New Roman"/>
            <w:sz w:val="24"/>
            <w:szCs w:val="24"/>
          </w:rPr>
          <w:t>http://google.com/businessdirectory.com</w:t>
        </w:r>
      </w:hyperlink>
    </w:p>
    <w:p w:rsidR="00FC21FA" w:rsidRPr="007C23D7" w:rsidRDefault="00FC21FA" w:rsidP="009B6BFB">
      <w:pPr>
        <w:spacing w:after="0" w:line="240" w:lineRule="auto"/>
        <w:rPr>
          <w:rFonts w:ascii="Times New Roman" w:eastAsia="Times New Roman" w:hAnsi="Times New Roman" w:cs="Times New Roman"/>
          <w:i/>
          <w:color w:val="000000" w:themeColor="text1"/>
          <w:sz w:val="24"/>
          <w:szCs w:val="24"/>
        </w:rPr>
      </w:pPr>
    </w:p>
    <w:p w:rsidR="007C23D7" w:rsidRDefault="007C23D7" w:rsidP="009B6BFB">
      <w:pPr>
        <w:spacing w:after="0" w:line="240" w:lineRule="auto"/>
        <w:rPr>
          <w:rFonts w:ascii="Times New Roman" w:eastAsia="Times New Roman" w:hAnsi="Times New Roman" w:cs="Times New Roman"/>
          <w:b/>
          <w:color w:val="000000" w:themeColor="text1"/>
          <w:sz w:val="24"/>
          <w:szCs w:val="24"/>
        </w:rPr>
      </w:pPr>
    </w:p>
    <w:p w:rsidR="00FC21FA" w:rsidRDefault="00FC21FA" w:rsidP="007C23D7">
      <w:pPr>
        <w:autoSpaceDE w:val="0"/>
        <w:autoSpaceDN w:val="0"/>
        <w:adjustRightInd w:val="0"/>
        <w:spacing w:after="0" w:line="240" w:lineRule="auto"/>
        <w:rPr>
          <w:rFonts w:ascii="Times New Roman" w:hAnsi="Times New Roman" w:cs="Times New Roman"/>
          <w:sz w:val="24"/>
          <w:szCs w:val="24"/>
        </w:rPr>
      </w:pPr>
    </w:p>
    <w:p w:rsidR="00BE59B9" w:rsidRPr="007C23D7" w:rsidRDefault="007C23D7" w:rsidP="00FC21FA">
      <w:pPr>
        <w:autoSpaceDE w:val="0"/>
        <w:autoSpaceDN w:val="0"/>
        <w:adjustRightInd w:val="0"/>
        <w:spacing w:after="0" w:line="240" w:lineRule="auto"/>
        <w:rPr>
          <w:rFonts w:ascii="Times New Roman" w:hAnsi="Times New Roman" w:cs="Times New Roman"/>
          <w:sz w:val="24"/>
          <w:szCs w:val="24"/>
        </w:rPr>
      </w:pPr>
      <w:r w:rsidRPr="007C23D7">
        <w:rPr>
          <w:rFonts w:ascii="Times New Roman" w:hAnsi="Times New Roman" w:cs="Times New Roman"/>
          <w:sz w:val="24"/>
          <w:szCs w:val="24"/>
        </w:rPr>
        <w:t>Datta, R, Mohajan, H.K. and. (2013), Financial Intermediaries in Development of Capital</w:t>
      </w:r>
      <w:r w:rsidR="00FC21FA">
        <w:rPr>
          <w:rFonts w:ascii="Times New Roman" w:hAnsi="Times New Roman" w:cs="Times New Roman"/>
          <w:sz w:val="24"/>
          <w:szCs w:val="24"/>
        </w:rPr>
        <w:t xml:space="preserve"> </w:t>
      </w:r>
      <w:r w:rsidRPr="007C23D7">
        <w:rPr>
          <w:rFonts w:ascii="Times New Roman" w:hAnsi="Times New Roman" w:cs="Times New Roman"/>
          <w:sz w:val="24"/>
          <w:szCs w:val="24"/>
        </w:rPr>
        <w:t xml:space="preserve">market </w:t>
      </w:r>
      <w:r w:rsidR="00FC21FA">
        <w:rPr>
          <w:rFonts w:ascii="Times New Roman" w:hAnsi="Times New Roman" w:cs="Times New Roman"/>
          <w:sz w:val="24"/>
          <w:szCs w:val="24"/>
        </w:rPr>
        <w:t xml:space="preserve">        </w:t>
      </w:r>
      <w:r w:rsidRPr="007C23D7">
        <w:rPr>
          <w:rFonts w:ascii="Times New Roman" w:hAnsi="Times New Roman" w:cs="Times New Roman"/>
          <w:sz w:val="24"/>
          <w:szCs w:val="24"/>
        </w:rPr>
        <w:t>in Bangladesh.</w:t>
      </w:r>
    </w:p>
    <w:p w:rsidR="007C23D7" w:rsidRPr="007C23D7" w:rsidRDefault="007C23D7" w:rsidP="007C23D7">
      <w:pPr>
        <w:spacing w:after="0" w:line="240" w:lineRule="auto"/>
        <w:rPr>
          <w:rFonts w:ascii="Times New Roman" w:hAnsi="Times New Roman" w:cs="Times New Roman"/>
          <w:sz w:val="24"/>
          <w:szCs w:val="24"/>
        </w:rPr>
      </w:pPr>
    </w:p>
    <w:p w:rsidR="007C23D7" w:rsidRDefault="007C23D7" w:rsidP="007C23D7">
      <w:pPr>
        <w:autoSpaceDE w:val="0"/>
        <w:autoSpaceDN w:val="0"/>
        <w:adjustRightInd w:val="0"/>
        <w:spacing w:after="0" w:line="240" w:lineRule="auto"/>
        <w:rPr>
          <w:rFonts w:ascii="Times New Roman" w:hAnsi="Times New Roman" w:cs="Times New Roman"/>
          <w:sz w:val="24"/>
          <w:szCs w:val="24"/>
        </w:rPr>
      </w:pPr>
      <w:r w:rsidRPr="007C23D7">
        <w:rPr>
          <w:rFonts w:ascii="Times New Roman" w:hAnsi="Times New Roman" w:cs="Times New Roman"/>
          <w:sz w:val="24"/>
          <w:szCs w:val="24"/>
        </w:rPr>
        <w:t>Fazlan Sufian (2007), Total Factor Productivity Change In Non-Bank Financi</w:t>
      </w:r>
      <w:r w:rsidR="00FC21FA">
        <w:rPr>
          <w:rFonts w:ascii="Times New Roman" w:hAnsi="Times New Roman" w:cs="Times New Roman"/>
          <w:sz w:val="24"/>
          <w:szCs w:val="24"/>
        </w:rPr>
        <w:t>al</w:t>
      </w:r>
      <w:r w:rsidRPr="007C23D7">
        <w:rPr>
          <w:rFonts w:ascii="Times New Roman" w:hAnsi="Times New Roman" w:cs="Times New Roman"/>
          <w:sz w:val="24"/>
          <w:szCs w:val="24"/>
        </w:rPr>
        <w:t xml:space="preserve"> </w:t>
      </w:r>
      <w:r w:rsidR="00FC21FA">
        <w:rPr>
          <w:rFonts w:ascii="Times New Roman" w:hAnsi="Times New Roman" w:cs="Times New Roman"/>
          <w:sz w:val="24"/>
          <w:szCs w:val="24"/>
        </w:rPr>
        <w:t xml:space="preserve">  </w:t>
      </w:r>
      <w:r w:rsidRPr="007C23D7">
        <w:rPr>
          <w:rFonts w:ascii="Times New Roman" w:hAnsi="Times New Roman" w:cs="Times New Roman"/>
          <w:sz w:val="24"/>
          <w:szCs w:val="24"/>
        </w:rPr>
        <w:t>Institutions:Evidence From Malaysia Applying A Malmquist Productivity Index (MPI), Applied Econometrics and International Development Vol.7-1 (2007).</w:t>
      </w:r>
    </w:p>
    <w:p w:rsidR="00FC21FA" w:rsidRDefault="00FC21FA" w:rsidP="007C23D7">
      <w:pPr>
        <w:autoSpaceDE w:val="0"/>
        <w:autoSpaceDN w:val="0"/>
        <w:adjustRightInd w:val="0"/>
        <w:spacing w:after="0" w:line="240" w:lineRule="auto"/>
        <w:rPr>
          <w:rFonts w:ascii="Times New Roman" w:hAnsi="Times New Roman" w:cs="Times New Roman"/>
          <w:sz w:val="24"/>
          <w:szCs w:val="24"/>
        </w:rPr>
      </w:pPr>
    </w:p>
    <w:p w:rsidR="00FC21FA" w:rsidRPr="00FC21FA" w:rsidRDefault="00FC21FA" w:rsidP="00FC21FA">
      <w:pPr>
        <w:autoSpaceDE w:val="0"/>
        <w:autoSpaceDN w:val="0"/>
        <w:adjustRightInd w:val="0"/>
        <w:spacing w:after="0" w:line="240" w:lineRule="auto"/>
        <w:rPr>
          <w:rFonts w:ascii="Garamond" w:hAnsi="Garamond" w:cs="Garamond"/>
        </w:rPr>
      </w:pPr>
      <w:r w:rsidRPr="00FC21FA">
        <w:rPr>
          <w:rFonts w:ascii="Times New Roman" w:hAnsi="Times New Roman" w:cs="Times New Roman"/>
          <w:sz w:val="24"/>
          <w:szCs w:val="24"/>
        </w:rPr>
        <w:t>Ahmed, M. N., &amp; Chowdhury, M. I. (2007). Non-bank financial institutions in Bangladesh:An analytical review. Working Paper Series: WP 0709, Bangladesh Bank, Bangladesh</w:t>
      </w:r>
      <w:r>
        <w:rPr>
          <w:rFonts w:ascii="Garamond" w:hAnsi="Garamond" w:cs="Garamond"/>
        </w:rPr>
        <w:t>.</w:t>
      </w:r>
    </w:p>
    <w:p w:rsidR="007C23D7" w:rsidRPr="009B6BFB" w:rsidRDefault="007C23D7" w:rsidP="007C23D7">
      <w:pPr>
        <w:autoSpaceDE w:val="0"/>
        <w:autoSpaceDN w:val="0"/>
        <w:adjustRightInd w:val="0"/>
        <w:spacing w:after="0" w:line="240" w:lineRule="auto"/>
        <w:rPr>
          <w:rFonts w:ascii="Garamond" w:hAnsi="Garamond" w:cs="Garamond"/>
        </w:rPr>
      </w:pPr>
    </w:p>
    <w:p w:rsidR="009B6BFB" w:rsidRPr="009B6BFB" w:rsidRDefault="009B6BFB" w:rsidP="007D39DA">
      <w:pPr>
        <w:spacing w:before="100" w:beforeAutospacing="1" w:after="100" w:afterAutospacing="1" w:line="240" w:lineRule="auto"/>
        <w:rPr>
          <w:rFonts w:ascii="Times New Roman" w:hAnsi="Times New Roman" w:cs="Times New Roman"/>
          <w:sz w:val="24"/>
          <w:szCs w:val="24"/>
        </w:rPr>
      </w:pPr>
    </w:p>
    <w:sectPr w:rsidR="009B6BFB" w:rsidRPr="009B6BFB" w:rsidSect="009C078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86D97"/>
    <w:multiLevelType w:val="multilevel"/>
    <w:tmpl w:val="1DE8A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8642DF"/>
    <w:multiLevelType w:val="hybridMultilevel"/>
    <w:tmpl w:val="43A69B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813CDE"/>
    <w:multiLevelType w:val="hybridMultilevel"/>
    <w:tmpl w:val="A48AE9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C65179"/>
    <w:multiLevelType w:val="multilevel"/>
    <w:tmpl w:val="77C8C53E"/>
    <w:lvl w:ilvl="0">
      <w:start w:val="1"/>
      <w:numFmt w:val="decimal"/>
      <w:lvlText w:val="%1."/>
      <w:lvlJc w:val="left"/>
      <w:pPr>
        <w:ind w:left="720" w:hanging="360"/>
      </w:pPr>
      <w:rPr>
        <w:rFonts w:hint="default"/>
        <w:b/>
        <w:sz w:val="32"/>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CF90AA0"/>
    <w:multiLevelType w:val="multilevel"/>
    <w:tmpl w:val="921CA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3AF72C3"/>
    <w:multiLevelType w:val="multilevel"/>
    <w:tmpl w:val="D91E0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7143EA1"/>
    <w:multiLevelType w:val="multilevel"/>
    <w:tmpl w:val="C6A67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C5B4002"/>
    <w:multiLevelType w:val="hybridMultilevel"/>
    <w:tmpl w:val="B860D4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CC0294"/>
    <w:multiLevelType w:val="multilevel"/>
    <w:tmpl w:val="29841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F1F507A"/>
    <w:multiLevelType w:val="hybridMultilevel"/>
    <w:tmpl w:val="35AED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265726"/>
    <w:multiLevelType w:val="hybridMultilevel"/>
    <w:tmpl w:val="3B1269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1A424C"/>
    <w:multiLevelType w:val="multilevel"/>
    <w:tmpl w:val="C2BE9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5"/>
  </w:num>
  <w:num w:numId="4">
    <w:abstractNumId w:val="6"/>
  </w:num>
  <w:num w:numId="5">
    <w:abstractNumId w:val="4"/>
  </w:num>
  <w:num w:numId="6">
    <w:abstractNumId w:val="3"/>
  </w:num>
  <w:num w:numId="7">
    <w:abstractNumId w:val="8"/>
  </w:num>
  <w:num w:numId="8">
    <w:abstractNumId w:val="1"/>
  </w:num>
  <w:num w:numId="9">
    <w:abstractNumId w:val="10"/>
  </w:num>
  <w:num w:numId="10">
    <w:abstractNumId w:val="7"/>
  </w:num>
  <w:num w:numId="11">
    <w:abstractNumId w:val="11"/>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937CAA"/>
    <w:rsid w:val="00066A5A"/>
    <w:rsid w:val="0007204A"/>
    <w:rsid w:val="000B0C01"/>
    <w:rsid w:val="000B0F91"/>
    <w:rsid w:val="00110C08"/>
    <w:rsid w:val="001A49DC"/>
    <w:rsid w:val="001D7934"/>
    <w:rsid w:val="0020500C"/>
    <w:rsid w:val="0026798D"/>
    <w:rsid w:val="002A5665"/>
    <w:rsid w:val="0039488C"/>
    <w:rsid w:val="003C2ED0"/>
    <w:rsid w:val="003D4E5E"/>
    <w:rsid w:val="003E1CBF"/>
    <w:rsid w:val="00451A9C"/>
    <w:rsid w:val="004C0816"/>
    <w:rsid w:val="005A1166"/>
    <w:rsid w:val="0065441F"/>
    <w:rsid w:val="00656698"/>
    <w:rsid w:val="006A2A18"/>
    <w:rsid w:val="006B2308"/>
    <w:rsid w:val="006F3133"/>
    <w:rsid w:val="00715F92"/>
    <w:rsid w:val="007324A1"/>
    <w:rsid w:val="007C23D7"/>
    <w:rsid w:val="007C5D72"/>
    <w:rsid w:val="007D39DA"/>
    <w:rsid w:val="007E1456"/>
    <w:rsid w:val="00851D29"/>
    <w:rsid w:val="00901415"/>
    <w:rsid w:val="00923143"/>
    <w:rsid w:val="00937CAA"/>
    <w:rsid w:val="00942479"/>
    <w:rsid w:val="009B6BFB"/>
    <w:rsid w:val="009C0782"/>
    <w:rsid w:val="00A379DB"/>
    <w:rsid w:val="00A84D47"/>
    <w:rsid w:val="00AC7E2B"/>
    <w:rsid w:val="00AF3C51"/>
    <w:rsid w:val="00B15721"/>
    <w:rsid w:val="00B157F5"/>
    <w:rsid w:val="00B73D2F"/>
    <w:rsid w:val="00B74FA9"/>
    <w:rsid w:val="00BE59B9"/>
    <w:rsid w:val="00C10A2C"/>
    <w:rsid w:val="00C61B0B"/>
    <w:rsid w:val="00C96BB0"/>
    <w:rsid w:val="00CE0B76"/>
    <w:rsid w:val="00CF4BC1"/>
    <w:rsid w:val="00D53E71"/>
    <w:rsid w:val="00D91E70"/>
    <w:rsid w:val="00D92C74"/>
    <w:rsid w:val="00DC32C1"/>
    <w:rsid w:val="00E275C9"/>
    <w:rsid w:val="00E35BF9"/>
    <w:rsid w:val="00F32852"/>
    <w:rsid w:val="00FC21FA"/>
    <w:rsid w:val="00FE6C1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0782"/>
  </w:style>
  <w:style w:type="paragraph" w:styleId="Heading1">
    <w:name w:val="heading 1"/>
    <w:basedOn w:val="Normal"/>
    <w:next w:val="Normal"/>
    <w:link w:val="Heading1Char"/>
    <w:uiPriority w:val="9"/>
    <w:qFormat/>
    <w:rsid w:val="00451A9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379D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143"/>
    <w:pPr>
      <w:ind w:left="720"/>
      <w:contextualSpacing/>
    </w:pPr>
  </w:style>
  <w:style w:type="paragraph" w:styleId="BalloonText">
    <w:name w:val="Balloon Text"/>
    <w:basedOn w:val="Normal"/>
    <w:link w:val="BalloonTextChar"/>
    <w:uiPriority w:val="99"/>
    <w:semiHidden/>
    <w:unhideWhenUsed/>
    <w:rsid w:val="007C5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D72"/>
    <w:rPr>
      <w:rFonts w:ascii="Tahoma" w:hAnsi="Tahoma" w:cs="Tahoma"/>
      <w:sz w:val="16"/>
      <w:szCs w:val="16"/>
    </w:rPr>
  </w:style>
  <w:style w:type="character" w:customStyle="1" w:styleId="a">
    <w:name w:val="a"/>
    <w:basedOn w:val="DefaultParagraphFont"/>
    <w:rsid w:val="00C61B0B"/>
  </w:style>
  <w:style w:type="character" w:customStyle="1" w:styleId="l6">
    <w:name w:val="l6"/>
    <w:basedOn w:val="DefaultParagraphFont"/>
    <w:rsid w:val="00C61B0B"/>
  </w:style>
  <w:style w:type="character" w:customStyle="1" w:styleId="apple-converted-space">
    <w:name w:val="apple-converted-space"/>
    <w:basedOn w:val="DefaultParagraphFont"/>
    <w:rsid w:val="00C61B0B"/>
  </w:style>
  <w:style w:type="character" w:customStyle="1" w:styleId="l8">
    <w:name w:val="l8"/>
    <w:basedOn w:val="DefaultParagraphFont"/>
    <w:rsid w:val="00C61B0B"/>
  </w:style>
  <w:style w:type="character" w:customStyle="1" w:styleId="l7">
    <w:name w:val="l7"/>
    <w:basedOn w:val="DefaultParagraphFont"/>
    <w:rsid w:val="00C61B0B"/>
  </w:style>
  <w:style w:type="character" w:styleId="Hyperlink">
    <w:name w:val="Hyperlink"/>
    <w:basedOn w:val="DefaultParagraphFont"/>
    <w:uiPriority w:val="99"/>
    <w:unhideWhenUsed/>
    <w:rsid w:val="003C2ED0"/>
    <w:rPr>
      <w:color w:val="0000FF"/>
      <w:u w:val="single"/>
    </w:rPr>
  </w:style>
  <w:style w:type="character" w:customStyle="1" w:styleId="Heading2Char">
    <w:name w:val="Heading 2 Char"/>
    <w:basedOn w:val="DefaultParagraphFont"/>
    <w:link w:val="Heading2"/>
    <w:uiPriority w:val="9"/>
    <w:rsid w:val="00A379DB"/>
    <w:rPr>
      <w:rFonts w:ascii="Times New Roman" w:eastAsia="Times New Roman" w:hAnsi="Times New Roman" w:cs="Times New Roman"/>
      <w:b/>
      <w:bCs/>
      <w:sz w:val="36"/>
      <w:szCs w:val="36"/>
    </w:rPr>
  </w:style>
  <w:style w:type="paragraph" w:styleId="NormalWeb">
    <w:name w:val="Normal (Web)"/>
    <w:basedOn w:val="Normal"/>
    <w:uiPriority w:val="99"/>
    <w:unhideWhenUsed/>
    <w:rsid w:val="00A379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headline">
    <w:name w:val="mw-headline"/>
    <w:basedOn w:val="DefaultParagraphFont"/>
    <w:rsid w:val="00A379DB"/>
  </w:style>
  <w:style w:type="character" w:customStyle="1" w:styleId="Heading1Char">
    <w:name w:val="Heading 1 Char"/>
    <w:basedOn w:val="DefaultParagraphFont"/>
    <w:link w:val="Heading1"/>
    <w:uiPriority w:val="9"/>
    <w:rsid w:val="00451A9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451A9C"/>
    <w:rPr>
      <w:b/>
      <w:bCs/>
    </w:rPr>
  </w:style>
  <w:style w:type="character" w:customStyle="1" w:styleId="hvr">
    <w:name w:val="hvr"/>
    <w:basedOn w:val="DefaultParagraphFont"/>
    <w:rsid w:val="00451A9C"/>
  </w:style>
  <w:style w:type="character" w:customStyle="1" w:styleId="js-headword">
    <w:name w:val="js-headword"/>
    <w:basedOn w:val="DefaultParagraphFont"/>
    <w:rsid w:val="00451A9C"/>
  </w:style>
  <w:style w:type="table" w:styleId="TableGrid">
    <w:name w:val="Table Grid"/>
    <w:basedOn w:val="TableNormal"/>
    <w:uiPriority w:val="59"/>
    <w:rsid w:val="00AF3C5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9609431">
      <w:bodyDiv w:val="1"/>
      <w:marLeft w:val="0"/>
      <w:marRight w:val="0"/>
      <w:marTop w:val="0"/>
      <w:marBottom w:val="0"/>
      <w:divBdr>
        <w:top w:val="none" w:sz="0" w:space="0" w:color="auto"/>
        <w:left w:val="none" w:sz="0" w:space="0" w:color="auto"/>
        <w:bottom w:val="none" w:sz="0" w:space="0" w:color="auto"/>
        <w:right w:val="none" w:sz="0" w:space="0" w:color="auto"/>
      </w:divBdr>
    </w:div>
    <w:div w:id="532377635">
      <w:bodyDiv w:val="1"/>
      <w:marLeft w:val="0"/>
      <w:marRight w:val="0"/>
      <w:marTop w:val="0"/>
      <w:marBottom w:val="0"/>
      <w:divBdr>
        <w:top w:val="none" w:sz="0" w:space="0" w:color="auto"/>
        <w:left w:val="none" w:sz="0" w:space="0" w:color="auto"/>
        <w:bottom w:val="none" w:sz="0" w:space="0" w:color="auto"/>
        <w:right w:val="none" w:sz="0" w:space="0" w:color="auto"/>
      </w:divBdr>
      <w:divsChild>
        <w:div w:id="1999654545">
          <w:marLeft w:val="0"/>
          <w:marRight w:val="0"/>
          <w:marTop w:val="0"/>
          <w:marBottom w:val="0"/>
          <w:divBdr>
            <w:top w:val="none" w:sz="0" w:space="0" w:color="auto"/>
            <w:left w:val="none" w:sz="0" w:space="0" w:color="auto"/>
            <w:bottom w:val="none" w:sz="0" w:space="0" w:color="auto"/>
            <w:right w:val="none" w:sz="0" w:space="0" w:color="auto"/>
          </w:divBdr>
        </w:div>
      </w:divsChild>
    </w:div>
    <w:div w:id="963266883">
      <w:bodyDiv w:val="1"/>
      <w:marLeft w:val="0"/>
      <w:marRight w:val="0"/>
      <w:marTop w:val="0"/>
      <w:marBottom w:val="0"/>
      <w:divBdr>
        <w:top w:val="none" w:sz="0" w:space="0" w:color="auto"/>
        <w:left w:val="none" w:sz="0" w:space="0" w:color="auto"/>
        <w:bottom w:val="none" w:sz="0" w:space="0" w:color="auto"/>
        <w:right w:val="none" w:sz="0" w:space="0" w:color="auto"/>
      </w:divBdr>
      <w:divsChild>
        <w:div w:id="2140416967">
          <w:marLeft w:val="0"/>
          <w:marRight w:val="0"/>
          <w:marTop w:val="0"/>
          <w:marBottom w:val="0"/>
          <w:divBdr>
            <w:top w:val="none" w:sz="0" w:space="0" w:color="auto"/>
            <w:left w:val="none" w:sz="0" w:space="0" w:color="auto"/>
            <w:bottom w:val="none" w:sz="0" w:space="0" w:color="auto"/>
            <w:right w:val="none" w:sz="0" w:space="0" w:color="auto"/>
          </w:divBdr>
        </w:div>
        <w:div w:id="2053189333">
          <w:marLeft w:val="0"/>
          <w:marRight w:val="0"/>
          <w:marTop w:val="0"/>
          <w:marBottom w:val="0"/>
          <w:divBdr>
            <w:top w:val="none" w:sz="0" w:space="0" w:color="auto"/>
            <w:left w:val="none" w:sz="0" w:space="0" w:color="auto"/>
            <w:bottom w:val="none" w:sz="0" w:space="0" w:color="auto"/>
            <w:right w:val="none" w:sz="0" w:space="0" w:color="auto"/>
          </w:divBdr>
        </w:div>
      </w:divsChild>
    </w:div>
    <w:div w:id="1027564266">
      <w:bodyDiv w:val="1"/>
      <w:marLeft w:val="0"/>
      <w:marRight w:val="0"/>
      <w:marTop w:val="0"/>
      <w:marBottom w:val="0"/>
      <w:divBdr>
        <w:top w:val="none" w:sz="0" w:space="0" w:color="auto"/>
        <w:left w:val="none" w:sz="0" w:space="0" w:color="auto"/>
        <w:bottom w:val="none" w:sz="0" w:space="0" w:color="auto"/>
        <w:right w:val="none" w:sz="0" w:space="0" w:color="auto"/>
      </w:divBdr>
      <w:divsChild>
        <w:div w:id="570121911">
          <w:marLeft w:val="0"/>
          <w:marRight w:val="0"/>
          <w:marTop w:val="0"/>
          <w:marBottom w:val="0"/>
          <w:divBdr>
            <w:top w:val="none" w:sz="0" w:space="0" w:color="auto"/>
            <w:left w:val="none" w:sz="0" w:space="0" w:color="auto"/>
            <w:bottom w:val="none" w:sz="0" w:space="0" w:color="auto"/>
            <w:right w:val="none" w:sz="0" w:space="0" w:color="auto"/>
          </w:divBdr>
          <w:divsChild>
            <w:div w:id="1798908528">
              <w:marLeft w:val="0"/>
              <w:marRight w:val="0"/>
              <w:marTop w:val="0"/>
              <w:marBottom w:val="0"/>
              <w:divBdr>
                <w:top w:val="none" w:sz="0" w:space="0" w:color="auto"/>
                <w:left w:val="none" w:sz="0" w:space="0" w:color="auto"/>
                <w:bottom w:val="none" w:sz="0" w:space="0" w:color="auto"/>
                <w:right w:val="none" w:sz="0" w:space="0" w:color="auto"/>
              </w:divBdr>
              <w:divsChild>
                <w:div w:id="635641367">
                  <w:marLeft w:val="0"/>
                  <w:marRight w:val="0"/>
                  <w:marTop w:val="0"/>
                  <w:marBottom w:val="0"/>
                  <w:divBdr>
                    <w:top w:val="none" w:sz="0" w:space="0" w:color="auto"/>
                    <w:left w:val="none" w:sz="0" w:space="0" w:color="auto"/>
                    <w:bottom w:val="none" w:sz="0" w:space="0" w:color="auto"/>
                    <w:right w:val="none" w:sz="0" w:space="0" w:color="auto"/>
                  </w:divBdr>
                  <w:divsChild>
                    <w:div w:id="348028407">
                      <w:marLeft w:val="0"/>
                      <w:marRight w:val="0"/>
                      <w:marTop w:val="0"/>
                      <w:marBottom w:val="0"/>
                      <w:divBdr>
                        <w:top w:val="none" w:sz="0" w:space="0" w:color="auto"/>
                        <w:left w:val="none" w:sz="0" w:space="0" w:color="auto"/>
                        <w:bottom w:val="none" w:sz="0" w:space="0" w:color="auto"/>
                        <w:right w:val="none" w:sz="0" w:space="0" w:color="auto"/>
                      </w:divBdr>
                      <w:divsChild>
                        <w:div w:id="53693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88962">
                  <w:marLeft w:val="0"/>
                  <w:marRight w:val="0"/>
                  <w:marTop w:val="0"/>
                  <w:marBottom w:val="0"/>
                  <w:divBdr>
                    <w:top w:val="none" w:sz="0" w:space="0" w:color="auto"/>
                    <w:left w:val="none" w:sz="0" w:space="0" w:color="auto"/>
                    <w:bottom w:val="none" w:sz="0" w:space="0" w:color="auto"/>
                    <w:right w:val="none" w:sz="0" w:space="0" w:color="auto"/>
                  </w:divBdr>
                  <w:divsChild>
                    <w:div w:id="169885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527339">
          <w:marLeft w:val="0"/>
          <w:marRight w:val="0"/>
          <w:marTop w:val="0"/>
          <w:marBottom w:val="0"/>
          <w:divBdr>
            <w:top w:val="none" w:sz="0" w:space="0" w:color="auto"/>
            <w:left w:val="none" w:sz="0" w:space="0" w:color="auto"/>
            <w:bottom w:val="none" w:sz="0" w:space="0" w:color="auto"/>
            <w:right w:val="none" w:sz="0" w:space="0" w:color="auto"/>
          </w:divBdr>
          <w:divsChild>
            <w:div w:id="1370571646">
              <w:marLeft w:val="0"/>
              <w:marRight w:val="0"/>
              <w:marTop w:val="0"/>
              <w:marBottom w:val="0"/>
              <w:divBdr>
                <w:top w:val="none" w:sz="0" w:space="0" w:color="auto"/>
                <w:left w:val="none" w:sz="0" w:space="0" w:color="auto"/>
                <w:bottom w:val="none" w:sz="0" w:space="0" w:color="auto"/>
                <w:right w:val="none" w:sz="0" w:space="0" w:color="auto"/>
              </w:divBdr>
              <w:divsChild>
                <w:div w:id="672612549">
                  <w:marLeft w:val="0"/>
                  <w:marRight w:val="0"/>
                  <w:marTop w:val="0"/>
                  <w:marBottom w:val="0"/>
                  <w:divBdr>
                    <w:top w:val="none" w:sz="0" w:space="0" w:color="auto"/>
                    <w:left w:val="none" w:sz="0" w:space="0" w:color="auto"/>
                    <w:bottom w:val="none" w:sz="0" w:space="0" w:color="auto"/>
                    <w:right w:val="none" w:sz="0" w:space="0" w:color="auto"/>
                  </w:divBdr>
                  <w:divsChild>
                    <w:div w:id="266087151">
                      <w:marLeft w:val="0"/>
                      <w:marRight w:val="0"/>
                      <w:marTop w:val="0"/>
                      <w:marBottom w:val="0"/>
                      <w:divBdr>
                        <w:top w:val="none" w:sz="0" w:space="0" w:color="auto"/>
                        <w:left w:val="none" w:sz="0" w:space="0" w:color="auto"/>
                        <w:bottom w:val="none" w:sz="0" w:space="0" w:color="auto"/>
                        <w:right w:val="none" w:sz="0" w:space="0" w:color="auto"/>
                      </w:divBdr>
                      <w:divsChild>
                        <w:div w:id="1583375284">
                          <w:marLeft w:val="0"/>
                          <w:marRight w:val="0"/>
                          <w:marTop w:val="0"/>
                          <w:marBottom w:val="0"/>
                          <w:divBdr>
                            <w:top w:val="none" w:sz="0" w:space="0" w:color="auto"/>
                            <w:left w:val="none" w:sz="0" w:space="0" w:color="auto"/>
                            <w:bottom w:val="none" w:sz="0" w:space="0" w:color="auto"/>
                            <w:right w:val="none" w:sz="0" w:space="0" w:color="auto"/>
                          </w:divBdr>
                          <w:divsChild>
                            <w:div w:id="7021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coverage.html" TargetMode="External"/><Relationship Id="rId13" Type="http://schemas.openxmlformats.org/officeDocument/2006/relationships/hyperlink" Target="http://www.businessdictionary.com/definition/hardship.html" TargetMode="External"/><Relationship Id="rId18" Type="http://schemas.openxmlformats.org/officeDocument/2006/relationships/hyperlink" Target="http://www.businessdictionary.com/definition/calculate.html" TargetMode="External"/><Relationship Id="rId26" Type="http://schemas.openxmlformats.org/officeDocument/2006/relationships/hyperlink" Target="http://www.investorwords.com/4025/raise.html" TargetMode="External"/><Relationship Id="rId3" Type="http://schemas.openxmlformats.org/officeDocument/2006/relationships/styles" Target="styles.xml"/><Relationship Id="rId21" Type="http://schemas.openxmlformats.org/officeDocument/2006/relationships/hyperlink" Target="http://www.businessdictionary.com/definition/pay.html" TargetMode="External"/><Relationship Id="rId34" Type="http://schemas.openxmlformats.org/officeDocument/2006/relationships/image" Target="media/image2.png"/><Relationship Id="rId7" Type="http://schemas.openxmlformats.org/officeDocument/2006/relationships/hyperlink" Target="http://www.businessdictionary.com/definition/provide.html" TargetMode="External"/><Relationship Id="rId12" Type="http://schemas.openxmlformats.org/officeDocument/2006/relationships/hyperlink" Target="http://www.businessdictionary.com/definition/injury.html" TargetMode="External"/><Relationship Id="rId17" Type="http://schemas.openxmlformats.org/officeDocument/2006/relationships/hyperlink" Target="http://www.businessdictionary.com/definition/company.html" TargetMode="External"/><Relationship Id="rId25" Type="http://schemas.openxmlformats.org/officeDocument/2006/relationships/hyperlink" Target="http://www.investorwords.com/2609/investment_company.html" TargetMode="External"/><Relationship Id="rId33" Type="http://schemas.openxmlformats.org/officeDocument/2006/relationships/image" Target="media/image1.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usinessdictionary.com/definition/payment.html" TargetMode="External"/><Relationship Id="rId20" Type="http://schemas.openxmlformats.org/officeDocument/2006/relationships/hyperlink" Target="http://www.businessdictionary.com/definition/cost.html" TargetMode="External"/><Relationship Id="rId29" Type="http://schemas.openxmlformats.org/officeDocument/2006/relationships/hyperlink" Target="http://www.investorwords.com/2598/invest.html" TargetMode="External"/><Relationship Id="rId1" Type="http://schemas.openxmlformats.org/officeDocument/2006/relationships/customXml" Target="../customXml/item1.xml"/><Relationship Id="rId6" Type="http://schemas.openxmlformats.org/officeDocument/2006/relationships/hyperlink" Target="http://www.businessdictionary.com/definition/business.html" TargetMode="External"/><Relationship Id="rId11" Type="http://schemas.openxmlformats.org/officeDocument/2006/relationships/hyperlink" Target="http://www.businessdictionary.com/definition/damages.html" TargetMode="External"/><Relationship Id="rId24" Type="http://schemas.openxmlformats.org/officeDocument/2006/relationships/hyperlink" Target="http://www.investorwords.com/2121/fund.html" TargetMode="External"/><Relationship Id="rId32" Type="http://schemas.openxmlformats.org/officeDocument/2006/relationships/hyperlink" Target="http://www.investorwords.com/3372/objective.htm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usinessdictionary.com/definition/premium.html" TargetMode="External"/><Relationship Id="rId23" Type="http://schemas.openxmlformats.org/officeDocument/2006/relationships/hyperlink" Target="http://www.investorwords.com/3435/open_ended.html" TargetMode="External"/><Relationship Id="rId28" Type="http://schemas.openxmlformats.org/officeDocument/2006/relationships/hyperlink" Target="http://www.investorwords.com/4527/shareholder.html" TargetMode="External"/><Relationship Id="rId36" Type="http://schemas.openxmlformats.org/officeDocument/2006/relationships/hyperlink" Target="http://google.com/businessdirectory.com" TargetMode="External"/><Relationship Id="rId10" Type="http://schemas.openxmlformats.org/officeDocument/2006/relationships/hyperlink" Target="http://www.businessdictionary.com/definition/capital-gain-loss-holding-period.html" TargetMode="External"/><Relationship Id="rId19" Type="http://schemas.openxmlformats.org/officeDocument/2006/relationships/hyperlink" Target="http://www.businessdictionary.com/definition/risk.html" TargetMode="External"/><Relationship Id="rId31" Type="http://schemas.openxmlformats.org/officeDocument/2006/relationships/hyperlink" Target="http://www.investorwords.com/8749/accordance.html" TargetMode="External"/><Relationship Id="rId4" Type="http://schemas.openxmlformats.org/officeDocument/2006/relationships/settings" Target="settings.xml"/><Relationship Id="rId9" Type="http://schemas.openxmlformats.org/officeDocument/2006/relationships/hyperlink" Target="http://www.businessdictionary.com/definition/form.html" TargetMode="External"/><Relationship Id="rId14" Type="http://schemas.openxmlformats.org/officeDocument/2006/relationships/hyperlink" Target="http://www.businessdictionary.com/definition/exchange.html" TargetMode="External"/><Relationship Id="rId22" Type="http://schemas.openxmlformats.org/officeDocument/2006/relationships/hyperlink" Target="http://www.businessdictionary.com/definition/amount.html" TargetMode="External"/><Relationship Id="rId27" Type="http://schemas.openxmlformats.org/officeDocument/2006/relationships/hyperlink" Target="http://www.investorwords.com/3100/money.html" TargetMode="External"/><Relationship Id="rId30" Type="http://schemas.openxmlformats.org/officeDocument/2006/relationships/hyperlink" Target="http://www.investorwords.com/273/asset.html" TargetMode="External"/><Relationship Id="rId35" Type="http://schemas.openxmlformats.org/officeDocument/2006/relationships/hyperlink" Target="http://assignmentpoi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D5BEA-413C-4AD6-9EDB-65FB1F769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Pages>
  <Words>1345</Words>
  <Characters>7669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Monir</dc:creator>
  <cp:keywords/>
  <dc:description/>
  <cp:lastModifiedBy>Reazul Islam</cp:lastModifiedBy>
  <cp:revision>38</cp:revision>
  <dcterms:created xsi:type="dcterms:W3CDTF">2015-02-12T10:33:00Z</dcterms:created>
  <dcterms:modified xsi:type="dcterms:W3CDTF">2015-02-18T12:56:00Z</dcterms:modified>
</cp:coreProperties>
</file>